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AE79" w14:textId="77777777" w:rsidR="00E7433C" w:rsidRDefault="00E7433C" w:rsidP="00E7433C">
      <w:pPr>
        <w:pStyle w:val="Title"/>
        <w:spacing w:before="240" w:after="240"/>
        <w:jc w:val="left"/>
      </w:pPr>
      <w:r>
        <w:rPr>
          <w:bCs/>
          <w:noProof/>
          <w:lang w:val="fr"/>
        </w:rPr>
        <w:drawing>
          <wp:inline distT="0" distB="0" distL="0" distR="0" wp14:anchorId="35D1A889" wp14:editId="473B4D36">
            <wp:extent cx="3600450" cy="447675"/>
            <wp:effectExtent l="0" t="0" r="0" b="9525"/>
            <wp:docPr id="2" name="Picture 2" descr="Tribunals Ontario&#10;Tribunaux décisionnel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unals Ontario&#10;Tribunaux décisionnels Ontari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00450" cy="447675"/>
                    </a:xfrm>
                    <a:prstGeom prst="rect">
                      <a:avLst/>
                    </a:prstGeom>
                    <a:noFill/>
                    <a:ln>
                      <a:noFill/>
                    </a:ln>
                  </pic:spPr>
                </pic:pic>
              </a:graphicData>
            </a:graphic>
          </wp:inline>
        </w:drawing>
      </w:r>
    </w:p>
    <w:p w14:paraId="0B30176D" w14:textId="2E2033E5" w:rsidR="00E7433C" w:rsidRDefault="00E7433C" w:rsidP="00E7433C">
      <w:pPr>
        <w:pStyle w:val="Title"/>
        <w:spacing w:before="240" w:after="240"/>
        <w:jc w:val="left"/>
        <w:rPr>
          <w:bCs/>
          <w:lang w:val="fr"/>
        </w:rPr>
      </w:pPr>
      <w:r>
        <w:rPr>
          <w:bCs/>
          <w:lang w:val="fr"/>
        </w:rPr>
        <w:t>Commission de révision de l’évaluation foncière</w:t>
      </w:r>
    </w:p>
    <w:p w14:paraId="2473AA64" w14:textId="77777777" w:rsidR="001B559A" w:rsidRPr="001B559A" w:rsidRDefault="001B559A" w:rsidP="001B559A">
      <w:pPr>
        <w:rPr>
          <w:lang w:val="fr"/>
        </w:rPr>
      </w:pPr>
    </w:p>
    <w:p w14:paraId="76C88C03" w14:textId="1CF783E3" w:rsidR="009D25AB" w:rsidRDefault="00E7433C" w:rsidP="001B559A">
      <w:pPr>
        <w:pStyle w:val="Heading1"/>
        <w:spacing w:after="160"/>
        <w:jc w:val="center"/>
        <w:rPr>
          <w:lang w:val="fr"/>
        </w:rPr>
      </w:pPr>
      <w:r>
        <w:rPr>
          <w:lang w:val="fr"/>
        </w:rPr>
        <w:t>Directive de pratique sur les exigences relatives à la divulgation pour les instances générales et sommaires</w:t>
      </w:r>
    </w:p>
    <w:p w14:paraId="5E8B4B1E" w14:textId="5A183928" w:rsidR="001B559A" w:rsidRPr="001B559A" w:rsidRDefault="001B559A" w:rsidP="001B559A">
      <w:pPr>
        <w:jc w:val="center"/>
        <w:rPr>
          <w:rFonts w:ascii="Arial" w:hAnsi="Arial" w:cs="Arial"/>
          <w:lang w:val="fr"/>
        </w:rPr>
      </w:pPr>
      <w:r>
        <w:rPr>
          <w:rFonts w:ascii="Arial" w:hAnsi="Arial" w:cs="Arial"/>
          <w:lang w:val="fr"/>
        </w:rPr>
        <w:t>(</w:t>
      </w:r>
      <w:proofErr w:type="spellStart"/>
      <w:r>
        <w:rPr>
          <w:rFonts w:ascii="Arial" w:hAnsi="Arial" w:cs="Arial"/>
          <w:lang w:val="fr"/>
        </w:rPr>
        <w:t>Available</w:t>
      </w:r>
      <w:proofErr w:type="spellEnd"/>
      <w:r>
        <w:rPr>
          <w:rFonts w:ascii="Arial" w:hAnsi="Arial" w:cs="Arial"/>
          <w:lang w:val="fr"/>
        </w:rPr>
        <w:t xml:space="preserve"> in English)</w:t>
      </w:r>
    </w:p>
    <w:p w14:paraId="337A5208" w14:textId="45A8418E" w:rsidR="009D25AB" w:rsidRPr="009D25AB" w:rsidRDefault="00A101B8" w:rsidP="009D25AB">
      <w:pPr>
        <w:pStyle w:val="BodyText"/>
        <w:rPr>
          <w:b/>
          <w:bCs/>
          <w:lang w:val="fr-CA"/>
        </w:rPr>
      </w:pPr>
      <w:r w:rsidRPr="009D25AB">
        <w:rPr>
          <w:b/>
          <w:bCs/>
          <w:lang w:val="fr-CA"/>
        </w:rPr>
        <w:t>E</w:t>
      </w:r>
      <w:r w:rsidR="00E23E8B" w:rsidRPr="009D25AB">
        <w:rPr>
          <w:b/>
          <w:bCs/>
          <w:lang w:val="fr-CA"/>
        </w:rPr>
        <w:t>n vigueur le 1</w:t>
      </w:r>
      <w:r w:rsidR="00E23E8B" w:rsidRPr="009D25AB">
        <w:rPr>
          <w:b/>
          <w:bCs/>
          <w:vertAlign w:val="superscript"/>
          <w:lang w:val="fr-CA"/>
        </w:rPr>
        <w:t>er</w:t>
      </w:r>
      <w:r w:rsidR="00E23E8B" w:rsidRPr="009D25AB">
        <w:rPr>
          <w:b/>
          <w:bCs/>
          <w:lang w:val="fr-CA"/>
        </w:rPr>
        <w:t xml:space="preserve"> avril </w:t>
      </w:r>
      <w:r w:rsidR="00F3715E" w:rsidRPr="009D25AB">
        <w:rPr>
          <w:b/>
          <w:bCs/>
          <w:lang w:val="fr-CA"/>
        </w:rPr>
        <w:t>202</w:t>
      </w:r>
      <w:r w:rsidR="00A05DE7" w:rsidRPr="009D25AB">
        <w:rPr>
          <w:b/>
          <w:bCs/>
          <w:lang w:val="fr-CA"/>
        </w:rPr>
        <w:t>1</w:t>
      </w:r>
    </w:p>
    <w:p w14:paraId="62E7AE77" w14:textId="77777777" w:rsidR="009D25AB" w:rsidRPr="009D25AB" w:rsidRDefault="009D25AB" w:rsidP="009D25AB">
      <w:pPr>
        <w:pStyle w:val="BodyText"/>
        <w:rPr>
          <w:lang w:val="fr-CA"/>
        </w:rPr>
      </w:pPr>
    </w:p>
    <w:p w14:paraId="7B3D52B8" w14:textId="1F1DA415" w:rsidR="00C02456" w:rsidRPr="00787221" w:rsidRDefault="009E79E7" w:rsidP="001B559A">
      <w:pPr>
        <w:pStyle w:val="Title"/>
        <w:spacing w:after="160"/>
        <w:jc w:val="left"/>
        <w:rPr>
          <w:lang w:val="fr-CA"/>
        </w:rPr>
      </w:pPr>
      <w:r w:rsidRPr="00787221">
        <w:rPr>
          <w:lang w:val="fr-CA"/>
        </w:rPr>
        <w:t>R</w:t>
      </w:r>
      <w:r w:rsidR="00E23E8B" w:rsidRPr="00787221">
        <w:rPr>
          <w:lang w:val="fr-CA"/>
        </w:rPr>
        <w:t>ègles pertinentes</w:t>
      </w:r>
    </w:p>
    <w:p w14:paraId="13D41108" w14:textId="31335C62" w:rsidR="009E79E7" w:rsidRDefault="00E23E8B" w:rsidP="00C02456">
      <w:pPr>
        <w:pStyle w:val="BodyText"/>
        <w:rPr>
          <w:lang w:val="fr-CA"/>
        </w:rPr>
      </w:pPr>
      <w:r w:rsidRPr="00E23E8B">
        <w:rPr>
          <w:lang w:val="fr-CA"/>
        </w:rPr>
        <w:t xml:space="preserve">La </w:t>
      </w:r>
      <w:r w:rsidR="001D71E3">
        <w:rPr>
          <w:lang w:val="fr-CA"/>
        </w:rPr>
        <w:t>r</w:t>
      </w:r>
      <w:r w:rsidRPr="00E23E8B">
        <w:rPr>
          <w:lang w:val="fr-CA"/>
        </w:rPr>
        <w:t>ègle </w:t>
      </w:r>
      <w:r w:rsidR="009E79E7" w:rsidRPr="00E23E8B">
        <w:rPr>
          <w:lang w:val="fr-CA"/>
        </w:rPr>
        <w:t xml:space="preserve">45 </w:t>
      </w:r>
      <w:r w:rsidRPr="00E23E8B">
        <w:rPr>
          <w:lang w:val="fr-CA"/>
        </w:rPr>
        <w:t xml:space="preserve">des Règles de pratique et de </w:t>
      </w:r>
      <w:r>
        <w:rPr>
          <w:lang w:val="fr-CA"/>
        </w:rPr>
        <w:t>procédure de la Commission est ainsi libellée :</w:t>
      </w:r>
    </w:p>
    <w:p w14:paraId="1A6BEB07" w14:textId="77777777" w:rsidR="00881FCD" w:rsidRPr="00E23E8B" w:rsidRDefault="00881FCD" w:rsidP="00C02456">
      <w:pPr>
        <w:pStyle w:val="BodyText"/>
        <w:rPr>
          <w:lang w:val="fr-CA"/>
        </w:rPr>
      </w:pPr>
    </w:p>
    <w:p w14:paraId="499E1541" w14:textId="489D59A9" w:rsidR="009E79E7" w:rsidRPr="00E23E8B" w:rsidRDefault="009E79E7" w:rsidP="009E79E7">
      <w:pPr>
        <w:ind w:left="720"/>
        <w:rPr>
          <w:rFonts w:ascii="Arial" w:hAnsi="Arial" w:cs="Arial"/>
          <w:sz w:val="24"/>
          <w:szCs w:val="24"/>
          <w:lang w:val="fr-CA"/>
        </w:rPr>
      </w:pPr>
      <w:r w:rsidRPr="00E23E8B">
        <w:rPr>
          <w:rFonts w:ascii="Arial" w:hAnsi="Arial" w:cs="Arial"/>
          <w:sz w:val="24"/>
          <w:szCs w:val="24"/>
          <w:lang w:val="fr-CA"/>
        </w:rPr>
        <w:t xml:space="preserve">45. </w:t>
      </w:r>
      <w:r w:rsidR="00E23E8B">
        <w:rPr>
          <w:rFonts w:ascii="Arial" w:hAnsi="Arial" w:cs="Arial"/>
          <w:sz w:val="24"/>
          <w:szCs w:val="24"/>
          <w:lang w:val="fr-CA"/>
        </w:rPr>
        <w:t xml:space="preserve">Toutes les </w:t>
      </w:r>
      <w:r w:rsidRPr="00E23E8B">
        <w:rPr>
          <w:rFonts w:ascii="Arial" w:hAnsi="Arial" w:cs="Arial"/>
          <w:sz w:val="24"/>
          <w:szCs w:val="24"/>
          <w:lang w:val="fr-CA"/>
        </w:rPr>
        <w:t xml:space="preserve">parties </w:t>
      </w:r>
      <w:r w:rsidR="00E23E8B">
        <w:rPr>
          <w:rFonts w:ascii="Arial" w:hAnsi="Arial" w:cs="Arial"/>
          <w:sz w:val="24"/>
          <w:szCs w:val="24"/>
          <w:lang w:val="fr-CA"/>
        </w:rPr>
        <w:t xml:space="preserve">doivent signifier une copie électronique de tous les documents pertinents qui sont en leur possession ou qui sont sous leur autorité ou leur garde, à toutes les autres parties à l’instance, à l’exception des documents privilégiés ou des documents qui ne peuvent </w:t>
      </w:r>
      <w:r w:rsidR="001D71E3">
        <w:rPr>
          <w:rFonts w:ascii="Arial" w:hAnsi="Arial" w:cs="Arial"/>
          <w:sz w:val="24"/>
          <w:szCs w:val="24"/>
          <w:lang w:val="fr-CA"/>
        </w:rPr>
        <w:t xml:space="preserve">être </w:t>
      </w:r>
      <w:r w:rsidR="00E23E8B">
        <w:rPr>
          <w:rFonts w:ascii="Arial" w:hAnsi="Arial" w:cs="Arial"/>
          <w:sz w:val="24"/>
          <w:szCs w:val="24"/>
          <w:lang w:val="fr-CA"/>
        </w:rPr>
        <w:t xml:space="preserve">divulgués pour des raisons d’ordre juridique. </w:t>
      </w:r>
    </w:p>
    <w:p w14:paraId="661BE567" w14:textId="3CF88DA8" w:rsidR="00881FCD" w:rsidRDefault="00BE60D3" w:rsidP="00881FCD">
      <w:pPr>
        <w:pStyle w:val="BodyText"/>
        <w:rPr>
          <w:lang w:val="fr-CA"/>
        </w:rPr>
      </w:pPr>
      <w:r>
        <w:rPr>
          <w:lang w:val="fr-CA"/>
        </w:rPr>
        <w:t xml:space="preserve">La </w:t>
      </w:r>
      <w:r w:rsidR="001D71E3">
        <w:rPr>
          <w:lang w:val="fr-CA"/>
        </w:rPr>
        <w:t>r</w:t>
      </w:r>
      <w:r>
        <w:rPr>
          <w:lang w:val="fr-CA"/>
        </w:rPr>
        <w:t>ègle</w:t>
      </w:r>
      <w:r w:rsidR="001D71E3">
        <w:rPr>
          <w:lang w:val="fr-CA"/>
        </w:rPr>
        <w:t> 2</w:t>
      </w:r>
      <w:r>
        <w:rPr>
          <w:lang w:val="fr-CA"/>
        </w:rPr>
        <w:t xml:space="preserve"> définit le mot « document » en ces termes :</w:t>
      </w:r>
    </w:p>
    <w:p w14:paraId="265F4950" w14:textId="77777777" w:rsidR="00881FCD" w:rsidRPr="00881FCD" w:rsidRDefault="00881FCD" w:rsidP="00881FCD">
      <w:pPr>
        <w:pStyle w:val="BodyText"/>
        <w:rPr>
          <w:lang w:val="fr-CA"/>
        </w:rPr>
      </w:pPr>
    </w:p>
    <w:p w14:paraId="7C3F7615" w14:textId="7FD33EC4" w:rsidR="009E79E7" w:rsidRPr="00BE60D3" w:rsidRDefault="00BE60D3" w:rsidP="00881FCD">
      <w:pPr>
        <w:rPr>
          <w:rFonts w:ascii="Arial" w:hAnsi="Arial" w:cs="Arial"/>
          <w:sz w:val="24"/>
          <w:szCs w:val="24"/>
          <w:lang w:val="fr-CA"/>
        </w:rPr>
      </w:pPr>
      <w:r w:rsidRPr="00BE60D3">
        <w:rPr>
          <w:rFonts w:ascii="Arial" w:hAnsi="Arial" w:cs="Arial"/>
          <w:sz w:val="24"/>
          <w:szCs w:val="24"/>
          <w:lang w:val="fr-CA"/>
        </w:rPr>
        <w:t>« </w:t>
      </w:r>
      <w:proofErr w:type="gramStart"/>
      <w:r w:rsidR="009E79E7" w:rsidRPr="00BE60D3">
        <w:rPr>
          <w:rFonts w:ascii="Arial" w:hAnsi="Arial" w:cs="Arial"/>
          <w:sz w:val="24"/>
          <w:szCs w:val="24"/>
          <w:lang w:val="fr-CA"/>
        </w:rPr>
        <w:t>document</w:t>
      </w:r>
      <w:proofErr w:type="gramEnd"/>
      <w:r>
        <w:rPr>
          <w:rFonts w:ascii="Arial" w:hAnsi="Arial" w:cs="Arial"/>
          <w:sz w:val="24"/>
          <w:szCs w:val="24"/>
          <w:lang w:val="fr-CA"/>
        </w:rPr>
        <w:t> »</w:t>
      </w:r>
      <w:r w:rsidRPr="00BE60D3">
        <w:rPr>
          <w:rFonts w:ascii="Arial" w:hAnsi="Arial" w:cs="Arial"/>
          <w:sz w:val="24"/>
          <w:szCs w:val="24"/>
          <w:lang w:val="fr-CA"/>
        </w:rPr>
        <w:t xml:space="preserve"> S’entend de données et de </w:t>
      </w:r>
      <w:r>
        <w:rPr>
          <w:rFonts w:ascii="Arial" w:hAnsi="Arial" w:cs="Arial"/>
          <w:sz w:val="24"/>
          <w:szCs w:val="24"/>
          <w:lang w:val="fr-CA"/>
        </w:rPr>
        <w:t xml:space="preserve">renseignements </w:t>
      </w:r>
      <w:r w:rsidRPr="00BE60D3">
        <w:rPr>
          <w:rFonts w:ascii="Arial" w:hAnsi="Arial" w:cs="Arial"/>
          <w:sz w:val="24"/>
          <w:szCs w:val="24"/>
          <w:lang w:val="fr-CA"/>
        </w:rPr>
        <w:t>consignés ou mis en mé</w:t>
      </w:r>
      <w:r>
        <w:rPr>
          <w:rFonts w:ascii="Arial" w:hAnsi="Arial" w:cs="Arial"/>
          <w:sz w:val="24"/>
          <w:szCs w:val="24"/>
          <w:lang w:val="fr-CA"/>
        </w:rPr>
        <w:t>moire par tout moyen, notamment sous forme électronique</w:t>
      </w:r>
      <w:r w:rsidR="00FB1188">
        <w:rPr>
          <w:rFonts w:ascii="Arial" w:hAnsi="Arial" w:cs="Arial"/>
          <w:sz w:val="24"/>
          <w:szCs w:val="24"/>
          <w:lang w:val="fr-CA"/>
        </w:rPr>
        <w:t>.</w:t>
      </w:r>
    </w:p>
    <w:p w14:paraId="29A20196" w14:textId="308C4F64" w:rsidR="009E79E7" w:rsidRDefault="00BE60D3" w:rsidP="00881FCD">
      <w:pPr>
        <w:pStyle w:val="BodyText"/>
        <w:rPr>
          <w:lang w:val="fr-CA"/>
        </w:rPr>
      </w:pPr>
      <w:r w:rsidRPr="00BE60D3">
        <w:rPr>
          <w:lang w:val="fr-CA"/>
        </w:rPr>
        <w:t xml:space="preserve">Les calendriers des </w:t>
      </w:r>
      <w:r>
        <w:rPr>
          <w:lang w:val="fr-CA"/>
        </w:rPr>
        <w:t>procédures</w:t>
      </w:r>
      <w:r w:rsidRPr="00BE60D3">
        <w:rPr>
          <w:lang w:val="fr-CA"/>
        </w:rPr>
        <w:t xml:space="preserve"> pour les </w:t>
      </w:r>
      <w:r>
        <w:rPr>
          <w:lang w:val="fr-CA"/>
        </w:rPr>
        <w:t>instances</w:t>
      </w:r>
      <w:r w:rsidRPr="00BE60D3">
        <w:rPr>
          <w:lang w:val="fr-CA"/>
        </w:rPr>
        <w:t xml:space="preserve"> tant générales que sommaires exigent que les parties à un appel s’échangent les </w:t>
      </w:r>
      <w:r>
        <w:rPr>
          <w:lang w:val="fr-CA"/>
        </w:rPr>
        <w:t xml:space="preserve">documents </w:t>
      </w:r>
      <w:r w:rsidR="001D71E3">
        <w:rPr>
          <w:lang w:val="fr-CA"/>
        </w:rPr>
        <w:t xml:space="preserve">à divulguer </w:t>
      </w:r>
      <w:r>
        <w:rPr>
          <w:lang w:val="fr-CA"/>
        </w:rPr>
        <w:t>au plus tard aux dates d’échéance indiquées dans le calendrier applicable.</w:t>
      </w:r>
    </w:p>
    <w:p w14:paraId="11CE7431" w14:textId="77777777" w:rsidR="00881FCD" w:rsidRPr="00BE60D3" w:rsidRDefault="00881FCD" w:rsidP="00881FCD">
      <w:pPr>
        <w:pStyle w:val="BodyText"/>
        <w:rPr>
          <w:lang w:val="fr-CA"/>
        </w:rPr>
      </w:pPr>
    </w:p>
    <w:p w14:paraId="574342F4" w14:textId="682C131D" w:rsidR="00991699" w:rsidRDefault="00BE60D3" w:rsidP="001B559A">
      <w:pPr>
        <w:pStyle w:val="Title"/>
        <w:spacing w:after="160"/>
        <w:jc w:val="left"/>
        <w:rPr>
          <w:lang w:val="fr-CA"/>
        </w:rPr>
      </w:pPr>
      <w:r w:rsidRPr="00787221">
        <w:rPr>
          <w:lang w:val="fr-CA"/>
        </w:rPr>
        <w:t xml:space="preserve">Objet de la Ligne directrice </w:t>
      </w:r>
      <w:r w:rsidR="001D71E3" w:rsidRPr="00787221">
        <w:rPr>
          <w:lang w:val="fr-CA"/>
        </w:rPr>
        <w:t>en matière</w:t>
      </w:r>
      <w:r w:rsidR="007B2049" w:rsidRPr="00787221">
        <w:rPr>
          <w:lang w:val="fr-CA"/>
        </w:rPr>
        <w:t xml:space="preserve"> </w:t>
      </w:r>
      <w:r w:rsidR="001D71E3" w:rsidRPr="00787221">
        <w:rPr>
          <w:lang w:val="fr-CA"/>
        </w:rPr>
        <w:t>de</w:t>
      </w:r>
      <w:r w:rsidR="007B2049" w:rsidRPr="00787221">
        <w:rPr>
          <w:lang w:val="fr-CA"/>
        </w:rPr>
        <w:t xml:space="preserve"> la divulgation</w:t>
      </w:r>
    </w:p>
    <w:p w14:paraId="3B8B4743" w14:textId="48E6BF3C" w:rsidR="009E79E7" w:rsidRPr="00714381" w:rsidRDefault="009C36FA" w:rsidP="00991699">
      <w:pPr>
        <w:pStyle w:val="BodyText"/>
        <w:rPr>
          <w:lang w:val="fr-CA"/>
        </w:rPr>
      </w:pPr>
      <w:r w:rsidRPr="009C36FA">
        <w:rPr>
          <w:lang w:val="fr-CA"/>
        </w:rPr>
        <w:t xml:space="preserve">Afin d’aider les parties à divulguer correctement leurs </w:t>
      </w:r>
      <w:r>
        <w:rPr>
          <w:lang w:val="fr-CA"/>
        </w:rPr>
        <w:t xml:space="preserve">renseignements </w:t>
      </w:r>
      <w:r w:rsidRPr="009C36FA">
        <w:rPr>
          <w:lang w:val="fr-CA"/>
        </w:rPr>
        <w:t xml:space="preserve">et </w:t>
      </w:r>
      <w:r>
        <w:rPr>
          <w:lang w:val="fr-CA"/>
        </w:rPr>
        <w:t xml:space="preserve">documents </w:t>
      </w:r>
      <w:r w:rsidRPr="009C36FA">
        <w:rPr>
          <w:lang w:val="fr-CA"/>
        </w:rPr>
        <w:t>et d’éviter si possible les différends liés à la div</w:t>
      </w:r>
      <w:r>
        <w:rPr>
          <w:lang w:val="fr-CA"/>
        </w:rPr>
        <w:t>ulgation</w:t>
      </w:r>
      <w:r w:rsidRPr="009C36FA">
        <w:rPr>
          <w:lang w:val="fr-CA"/>
        </w:rPr>
        <w:t>, la Commission a élabor</w:t>
      </w:r>
      <w:r>
        <w:rPr>
          <w:lang w:val="fr-CA"/>
        </w:rPr>
        <w:t>é</w:t>
      </w:r>
      <w:r w:rsidRPr="009C36FA">
        <w:rPr>
          <w:lang w:val="fr-CA"/>
        </w:rPr>
        <w:t xml:space="preserve"> la présente ligne directrice</w:t>
      </w:r>
      <w:r w:rsidR="001D71E3">
        <w:rPr>
          <w:lang w:val="fr-CA"/>
        </w:rPr>
        <w:t xml:space="preserve"> comportant </w:t>
      </w:r>
      <w:r w:rsidRPr="009C36FA">
        <w:rPr>
          <w:lang w:val="fr-CA"/>
        </w:rPr>
        <w:t>un calendrier de div</w:t>
      </w:r>
      <w:r>
        <w:rPr>
          <w:lang w:val="fr-CA"/>
        </w:rPr>
        <w:t>ulgation</w:t>
      </w:r>
      <w:r w:rsidRPr="009C36FA">
        <w:rPr>
          <w:lang w:val="fr-CA"/>
        </w:rPr>
        <w:t xml:space="preserve"> </w:t>
      </w:r>
      <w:r w:rsidR="001D71E3">
        <w:rPr>
          <w:lang w:val="fr-CA"/>
        </w:rPr>
        <w:t xml:space="preserve">qui </w:t>
      </w:r>
      <w:r w:rsidRPr="009C36FA">
        <w:rPr>
          <w:lang w:val="fr-CA"/>
        </w:rPr>
        <w:t>énon</w:t>
      </w:r>
      <w:r w:rsidR="001D71E3">
        <w:rPr>
          <w:lang w:val="fr-CA"/>
        </w:rPr>
        <w:t>ce</w:t>
      </w:r>
      <w:r w:rsidRPr="009C36FA">
        <w:rPr>
          <w:lang w:val="fr-CA"/>
        </w:rPr>
        <w:t xml:space="preserve"> les</w:t>
      </w:r>
      <w:r w:rsidR="00343700">
        <w:rPr>
          <w:lang w:val="fr-CA"/>
        </w:rPr>
        <w:t xml:space="preserve"> </w:t>
      </w:r>
      <w:r>
        <w:rPr>
          <w:lang w:val="fr-CA"/>
        </w:rPr>
        <w:t>questions</w:t>
      </w:r>
      <w:r w:rsidRPr="009C36FA">
        <w:rPr>
          <w:lang w:val="fr-CA"/>
        </w:rPr>
        <w:t xml:space="preserve"> </w:t>
      </w:r>
      <w:r w:rsidR="00343700">
        <w:rPr>
          <w:lang w:val="fr-CA"/>
        </w:rPr>
        <w:t xml:space="preserve">en litige </w:t>
      </w:r>
      <w:r w:rsidRPr="009C36FA">
        <w:rPr>
          <w:lang w:val="fr-CA"/>
        </w:rPr>
        <w:t xml:space="preserve">les plus fréquemment </w:t>
      </w:r>
      <w:r w:rsidR="00343700">
        <w:rPr>
          <w:lang w:val="fr-CA"/>
        </w:rPr>
        <w:t xml:space="preserve">soulevées </w:t>
      </w:r>
      <w:r w:rsidRPr="009C36FA">
        <w:rPr>
          <w:lang w:val="fr-CA"/>
        </w:rPr>
        <w:t xml:space="preserve">dans les </w:t>
      </w:r>
      <w:r>
        <w:rPr>
          <w:lang w:val="fr-CA"/>
        </w:rPr>
        <w:t>procédures</w:t>
      </w:r>
      <w:r w:rsidRPr="009C36FA">
        <w:rPr>
          <w:lang w:val="fr-CA"/>
        </w:rPr>
        <w:t xml:space="preserve"> d’appel fondées sur la </w:t>
      </w:r>
      <w:r w:rsidRPr="009C36FA">
        <w:rPr>
          <w:i/>
          <w:iCs/>
          <w:lang w:val="fr-CA"/>
        </w:rPr>
        <w:t>Loi sur l</w:t>
      </w:r>
      <w:r w:rsidR="001D71E3">
        <w:rPr>
          <w:i/>
          <w:iCs/>
          <w:lang w:val="fr-CA"/>
        </w:rPr>
        <w:t>’</w:t>
      </w:r>
      <w:r>
        <w:rPr>
          <w:i/>
          <w:iCs/>
          <w:lang w:val="fr-CA"/>
        </w:rPr>
        <w:t>évaluation</w:t>
      </w:r>
      <w:r w:rsidRPr="009C36FA">
        <w:rPr>
          <w:i/>
          <w:iCs/>
          <w:lang w:val="fr-CA"/>
        </w:rPr>
        <w:t xml:space="preserve"> foncière</w:t>
      </w:r>
      <w:r>
        <w:rPr>
          <w:i/>
          <w:iCs/>
          <w:lang w:val="fr-CA"/>
        </w:rPr>
        <w:t xml:space="preserve"> </w:t>
      </w:r>
      <w:r>
        <w:rPr>
          <w:lang w:val="fr-CA"/>
        </w:rPr>
        <w:t>et</w:t>
      </w:r>
      <w:r w:rsidR="001D71E3">
        <w:rPr>
          <w:lang w:val="fr-CA"/>
        </w:rPr>
        <w:t xml:space="preserve"> présente,</w:t>
      </w:r>
      <w:r>
        <w:rPr>
          <w:lang w:val="fr-CA"/>
        </w:rPr>
        <w:t xml:space="preserve"> pour chaque question, une liste non exhaustive des documents et renseignements qui sont jugés pertinents et qui, par conséquent, devraient normalement être divulgués. </w:t>
      </w:r>
      <w:r w:rsidRPr="009C36FA">
        <w:rPr>
          <w:lang w:val="fr-CA"/>
        </w:rPr>
        <w:t xml:space="preserve">La </w:t>
      </w:r>
      <w:r w:rsidR="001D71E3">
        <w:rPr>
          <w:lang w:val="fr-CA"/>
        </w:rPr>
        <w:t>présente l</w:t>
      </w:r>
      <w:r w:rsidRPr="009C36FA">
        <w:rPr>
          <w:lang w:val="fr-CA"/>
        </w:rPr>
        <w:t xml:space="preserve">igne directrice précise </w:t>
      </w:r>
      <w:r w:rsidR="003C0AF8">
        <w:rPr>
          <w:lang w:val="fr-CA"/>
        </w:rPr>
        <w:lastRenderedPageBreak/>
        <w:t xml:space="preserve">également </w:t>
      </w:r>
      <w:r w:rsidRPr="009C36FA">
        <w:rPr>
          <w:lang w:val="fr-CA"/>
        </w:rPr>
        <w:t>la partie qui doit faire cette divulgation et le</w:t>
      </w:r>
      <w:r w:rsidR="001D71E3">
        <w:rPr>
          <w:lang w:val="fr-CA"/>
        </w:rPr>
        <w:t>s</w:t>
      </w:r>
      <w:r w:rsidRPr="009C36FA">
        <w:rPr>
          <w:lang w:val="fr-CA"/>
        </w:rPr>
        <w:t xml:space="preserve"> moment</w:t>
      </w:r>
      <w:r w:rsidR="001D71E3">
        <w:rPr>
          <w:lang w:val="fr-CA"/>
        </w:rPr>
        <w:t>s</w:t>
      </w:r>
      <w:r w:rsidRPr="009C36FA">
        <w:rPr>
          <w:lang w:val="fr-CA"/>
        </w:rPr>
        <w:t xml:space="preserve"> où celle-ci doit avoir lieu.</w:t>
      </w:r>
      <w:r w:rsidRPr="009C36FA">
        <w:rPr>
          <w:lang w:val="fr-CA"/>
        </w:rPr>
        <w:br/>
      </w:r>
    </w:p>
    <w:p w14:paraId="3B0CD7B8" w14:textId="77777777" w:rsidR="00991699" w:rsidRDefault="003C0AF8" w:rsidP="00991699">
      <w:pPr>
        <w:pStyle w:val="BodyText"/>
        <w:rPr>
          <w:lang w:val="fr-CA"/>
        </w:rPr>
      </w:pPr>
      <w:r>
        <w:rPr>
          <w:lang w:val="fr-CA"/>
        </w:rPr>
        <w:t>La</w:t>
      </w:r>
      <w:r w:rsidR="009E79E7" w:rsidRPr="003C0AF8">
        <w:rPr>
          <w:lang w:val="fr-CA"/>
        </w:rPr>
        <w:t xml:space="preserve"> </w:t>
      </w:r>
      <w:r w:rsidR="001D71E3">
        <w:rPr>
          <w:lang w:val="fr-CA"/>
        </w:rPr>
        <w:t>l</w:t>
      </w:r>
      <w:r>
        <w:rPr>
          <w:lang w:val="fr-CA"/>
        </w:rPr>
        <w:t>igne directrice se</w:t>
      </w:r>
      <w:r w:rsidR="001D71E3">
        <w:rPr>
          <w:lang w:val="fr-CA"/>
        </w:rPr>
        <w:t xml:space="preserve"> veut</w:t>
      </w:r>
      <w:r>
        <w:rPr>
          <w:lang w:val="fr-CA"/>
        </w:rPr>
        <w:t xml:space="preserve"> une liste de contrôle utile pour permettre aux parties et à leurs représentants de veiller à divulguer leurs renseignements et documents en temps opportun. Veuillez </w:t>
      </w:r>
      <w:r w:rsidR="001D71E3">
        <w:rPr>
          <w:lang w:val="fr-CA"/>
        </w:rPr>
        <w:t xml:space="preserve">noter </w:t>
      </w:r>
      <w:r>
        <w:rPr>
          <w:lang w:val="fr-CA"/>
        </w:rPr>
        <w:t xml:space="preserve">toutefois que </w:t>
      </w:r>
      <w:r w:rsidR="00343700">
        <w:rPr>
          <w:lang w:val="fr-CA"/>
        </w:rPr>
        <w:t xml:space="preserve">cette </w:t>
      </w:r>
      <w:r w:rsidR="001D71E3">
        <w:rPr>
          <w:lang w:val="fr-CA"/>
        </w:rPr>
        <w:t xml:space="preserve">liste </w:t>
      </w:r>
      <w:r>
        <w:rPr>
          <w:lang w:val="fr-CA"/>
        </w:rPr>
        <w:t>n</w:t>
      </w:r>
      <w:r w:rsidR="00BE7656">
        <w:rPr>
          <w:lang w:val="fr-CA"/>
        </w:rPr>
        <w:t>’</w:t>
      </w:r>
      <w:r>
        <w:rPr>
          <w:lang w:val="fr-CA"/>
        </w:rPr>
        <w:t>e</w:t>
      </w:r>
      <w:r w:rsidR="00BE7656">
        <w:rPr>
          <w:lang w:val="fr-CA"/>
        </w:rPr>
        <w:t>st pas</w:t>
      </w:r>
      <w:r>
        <w:rPr>
          <w:lang w:val="fr-CA"/>
        </w:rPr>
        <w:t xml:space="preserve"> exhaustive. D’autres documents qui ne sont pas mentionnés dans la li</w:t>
      </w:r>
      <w:r w:rsidR="00BE7656">
        <w:rPr>
          <w:lang w:val="fr-CA"/>
        </w:rPr>
        <w:t xml:space="preserve">gne directrice </w:t>
      </w:r>
      <w:r>
        <w:rPr>
          <w:lang w:val="fr-CA"/>
        </w:rPr>
        <w:t>pourraient être pertinents, compte te</w:t>
      </w:r>
      <w:r w:rsidRPr="003C0AF8">
        <w:rPr>
          <w:lang w:val="fr-CA"/>
        </w:rPr>
        <w:t xml:space="preserve">nu des questions </w:t>
      </w:r>
      <w:r w:rsidR="00343700">
        <w:rPr>
          <w:lang w:val="fr-CA"/>
        </w:rPr>
        <w:t xml:space="preserve">en litige </w:t>
      </w:r>
      <w:r w:rsidRPr="003C0AF8">
        <w:rPr>
          <w:lang w:val="fr-CA"/>
        </w:rPr>
        <w:t xml:space="preserve">soulevées en appel. Ces documents </w:t>
      </w:r>
      <w:r>
        <w:rPr>
          <w:lang w:val="fr-CA"/>
        </w:rPr>
        <w:t xml:space="preserve">pertinents </w:t>
      </w:r>
      <w:r w:rsidRPr="003C0AF8">
        <w:rPr>
          <w:lang w:val="fr-CA"/>
        </w:rPr>
        <w:t>devr</w:t>
      </w:r>
      <w:r>
        <w:rPr>
          <w:lang w:val="fr-CA"/>
        </w:rPr>
        <w:t>o</w:t>
      </w:r>
      <w:r w:rsidRPr="003C0AF8">
        <w:rPr>
          <w:lang w:val="fr-CA"/>
        </w:rPr>
        <w:t xml:space="preserve">nt </w:t>
      </w:r>
      <w:r w:rsidR="00BE7656">
        <w:rPr>
          <w:lang w:val="fr-CA"/>
        </w:rPr>
        <w:t xml:space="preserve">également </w:t>
      </w:r>
      <w:r w:rsidRPr="003C0AF8">
        <w:rPr>
          <w:lang w:val="fr-CA"/>
        </w:rPr>
        <w:t>être divulgués.</w:t>
      </w:r>
    </w:p>
    <w:p w14:paraId="6939BA91" w14:textId="4A6C6288" w:rsidR="009E79E7" w:rsidRPr="00714381" w:rsidRDefault="003C0AF8" w:rsidP="00991699">
      <w:pPr>
        <w:pStyle w:val="BodyText"/>
        <w:rPr>
          <w:lang w:val="fr-CA"/>
        </w:rPr>
      </w:pPr>
      <w:r w:rsidRPr="003C0AF8">
        <w:rPr>
          <w:lang w:val="fr-CA"/>
        </w:rPr>
        <w:t xml:space="preserve"> </w:t>
      </w:r>
      <w:r w:rsidR="009E79E7" w:rsidRPr="00714381">
        <w:rPr>
          <w:lang w:val="fr-CA"/>
        </w:rPr>
        <w:t xml:space="preserve"> </w:t>
      </w:r>
    </w:p>
    <w:p w14:paraId="5925666B" w14:textId="425FC87E" w:rsidR="00620D10" w:rsidRDefault="00271DDB" w:rsidP="001B559A">
      <w:pPr>
        <w:pStyle w:val="Title"/>
        <w:spacing w:after="160"/>
        <w:jc w:val="left"/>
        <w:rPr>
          <w:lang w:val="fr-CA"/>
        </w:rPr>
      </w:pPr>
      <w:r w:rsidRPr="00787221">
        <w:rPr>
          <w:lang w:val="fr-CA"/>
        </w:rPr>
        <w:t xml:space="preserve">Façon dont la Ligne directrice </w:t>
      </w:r>
      <w:r w:rsidR="00BE7656" w:rsidRPr="00787221">
        <w:rPr>
          <w:lang w:val="fr-CA"/>
        </w:rPr>
        <w:t xml:space="preserve">en matière de divulgation </w:t>
      </w:r>
      <w:r w:rsidRPr="00787221">
        <w:rPr>
          <w:lang w:val="fr-CA"/>
        </w:rPr>
        <w:t>a été élaborée</w:t>
      </w:r>
    </w:p>
    <w:p w14:paraId="1D94ED60" w14:textId="0AD6EFF7" w:rsidR="009E79E7" w:rsidRDefault="00271DDB" w:rsidP="00620D10">
      <w:pPr>
        <w:pStyle w:val="BodyText"/>
        <w:rPr>
          <w:lang w:val="fr-CA"/>
        </w:rPr>
      </w:pPr>
      <w:r>
        <w:rPr>
          <w:lang w:val="fr-CA"/>
        </w:rPr>
        <w:t>La Commission a formé un groupe de consultation composé de représentants de la Société d’évaluation foncière des municipalités (SEFM), de cabinets d’avocats représentant l</w:t>
      </w:r>
      <w:r w:rsidR="00BE7656">
        <w:rPr>
          <w:lang w:val="fr-CA"/>
        </w:rPr>
        <w:t>es</w:t>
      </w:r>
      <w:r>
        <w:rPr>
          <w:lang w:val="fr-CA"/>
        </w:rPr>
        <w:t xml:space="preserve"> partie</w:t>
      </w:r>
      <w:r w:rsidR="00BE7656">
        <w:rPr>
          <w:lang w:val="fr-CA"/>
        </w:rPr>
        <w:t>s</w:t>
      </w:r>
      <w:r>
        <w:rPr>
          <w:lang w:val="fr-CA"/>
        </w:rPr>
        <w:t xml:space="preserve"> appelante</w:t>
      </w:r>
      <w:r w:rsidR="00BE7656">
        <w:rPr>
          <w:lang w:val="fr-CA"/>
        </w:rPr>
        <w:t>s</w:t>
      </w:r>
      <w:r>
        <w:rPr>
          <w:lang w:val="fr-CA"/>
        </w:rPr>
        <w:t xml:space="preserve"> et de municipalités afin de déterminer les questions </w:t>
      </w:r>
      <w:r w:rsidR="00BE7656">
        <w:rPr>
          <w:lang w:val="fr-CA"/>
        </w:rPr>
        <w:t xml:space="preserve">en litige </w:t>
      </w:r>
      <w:r>
        <w:rPr>
          <w:lang w:val="fr-CA"/>
        </w:rPr>
        <w:t xml:space="preserve">communes ainsi que les aspects pour lesquels il y avait consensus quant aux documents pertinents qui devraient </w:t>
      </w:r>
      <w:r w:rsidR="00FB1188">
        <w:rPr>
          <w:lang w:val="fr-CA"/>
        </w:rPr>
        <w:t xml:space="preserve">être </w:t>
      </w:r>
      <w:r>
        <w:rPr>
          <w:lang w:val="fr-CA"/>
        </w:rPr>
        <w:t xml:space="preserve">divulgués relativement à chaque question </w:t>
      </w:r>
      <w:r w:rsidR="00BE7656">
        <w:rPr>
          <w:lang w:val="fr-CA"/>
        </w:rPr>
        <w:t xml:space="preserve">en litige </w:t>
      </w:r>
      <w:r>
        <w:rPr>
          <w:lang w:val="fr-CA"/>
        </w:rPr>
        <w:t>(le « groupe de travail sur la divulgation »). Le consensus du groupe de travail sur la divulgation est reflété dans la présente ligne directrice.</w:t>
      </w:r>
    </w:p>
    <w:p w14:paraId="72C08914" w14:textId="77777777" w:rsidR="00620D10" w:rsidRPr="00271DDB" w:rsidRDefault="00620D10" w:rsidP="00620D10">
      <w:pPr>
        <w:pStyle w:val="BodyText"/>
        <w:rPr>
          <w:lang w:val="fr-CA"/>
        </w:rPr>
      </w:pPr>
    </w:p>
    <w:p w14:paraId="6F676A09" w14:textId="286861DA" w:rsidR="00B04686" w:rsidRPr="00787221" w:rsidRDefault="00271DDB" w:rsidP="001B559A">
      <w:pPr>
        <w:pStyle w:val="Title"/>
        <w:spacing w:after="160"/>
        <w:jc w:val="left"/>
        <w:rPr>
          <w:lang w:val="fr-CA"/>
        </w:rPr>
      </w:pPr>
      <w:r w:rsidRPr="00787221">
        <w:rPr>
          <w:lang w:val="fr-CA"/>
        </w:rPr>
        <w:t xml:space="preserve">Obligation de </w:t>
      </w:r>
      <w:r w:rsidR="0024116D" w:rsidRPr="00787221">
        <w:rPr>
          <w:lang w:val="fr-CA"/>
        </w:rPr>
        <w:t>divulgation</w:t>
      </w:r>
    </w:p>
    <w:p w14:paraId="6CB0447D" w14:textId="320289CE" w:rsidR="0024116D" w:rsidRDefault="0024116D" w:rsidP="00B04686">
      <w:pPr>
        <w:pStyle w:val="BodyText"/>
        <w:rPr>
          <w:lang w:val="fr-CA"/>
        </w:rPr>
      </w:pPr>
      <w:r w:rsidRPr="0024116D">
        <w:rPr>
          <w:lang w:val="fr-CA"/>
        </w:rPr>
        <w:t xml:space="preserve">Selon la </w:t>
      </w:r>
      <w:r w:rsidR="00BE7656">
        <w:rPr>
          <w:lang w:val="fr-CA"/>
        </w:rPr>
        <w:t>r</w:t>
      </w:r>
      <w:r w:rsidRPr="0024116D">
        <w:rPr>
          <w:lang w:val="fr-CA"/>
        </w:rPr>
        <w:t>ègle </w:t>
      </w:r>
      <w:r w:rsidR="009E79E7" w:rsidRPr="0024116D">
        <w:rPr>
          <w:lang w:val="fr-CA"/>
        </w:rPr>
        <w:t xml:space="preserve">45, </w:t>
      </w:r>
      <w:r w:rsidRPr="0024116D">
        <w:rPr>
          <w:lang w:val="fr-CA"/>
        </w:rPr>
        <w:t xml:space="preserve">les parties doivent divulguer tous les </w:t>
      </w:r>
      <w:r>
        <w:rPr>
          <w:lang w:val="fr-CA"/>
        </w:rPr>
        <w:t xml:space="preserve">documents </w:t>
      </w:r>
      <w:r w:rsidRPr="0024116D">
        <w:rPr>
          <w:lang w:val="fr-CA"/>
        </w:rPr>
        <w:t xml:space="preserve">pertinents qui sont </w:t>
      </w:r>
      <w:r w:rsidR="00BE7656">
        <w:rPr>
          <w:lang w:val="fr-CA"/>
        </w:rPr>
        <w:t>en</w:t>
      </w:r>
      <w:r>
        <w:rPr>
          <w:lang w:val="fr-CA"/>
        </w:rPr>
        <w:t xml:space="preserve"> leur possession ou </w:t>
      </w:r>
      <w:r w:rsidR="00BE7656">
        <w:rPr>
          <w:lang w:val="fr-CA"/>
        </w:rPr>
        <w:t xml:space="preserve">sous </w:t>
      </w:r>
      <w:r>
        <w:rPr>
          <w:lang w:val="fr-CA"/>
        </w:rPr>
        <w:t xml:space="preserve">leur autorité ou </w:t>
      </w:r>
      <w:r w:rsidR="00FB1188">
        <w:rPr>
          <w:lang w:val="fr-CA"/>
        </w:rPr>
        <w:t xml:space="preserve">sous </w:t>
      </w:r>
      <w:r>
        <w:rPr>
          <w:lang w:val="fr-CA"/>
        </w:rPr>
        <w:t xml:space="preserve">leur garde. </w:t>
      </w:r>
      <w:r w:rsidR="00BE7656">
        <w:rPr>
          <w:lang w:val="fr-CA"/>
        </w:rPr>
        <w:t>Il s’agit là d’</w:t>
      </w:r>
      <w:r w:rsidRPr="0024116D">
        <w:rPr>
          <w:lang w:val="fr-CA"/>
        </w:rPr>
        <w:t xml:space="preserve">une </w:t>
      </w:r>
      <w:r>
        <w:rPr>
          <w:lang w:val="fr-CA"/>
        </w:rPr>
        <w:t xml:space="preserve">obligation </w:t>
      </w:r>
      <w:r w:rsidRPr="0024116D">
        <w:rPr>
          <w:lang w:val="fr-CA"/>
        </w:rPr>
        <w:t xml:space="preserve">continue </w:t>
      </w:r>
      <w:r w:rsidR="00FB1188">
        <w:rPr>
          <w:lang w:val="fr-CA"/>
        </w:rPr>
        <w:t>tout au long de la</w:t>
      </w:r>
      <w:r w:rsidR="00BE7656">
        <w:rPr>
          <w:lang w:val="fr-CA"/>
        </w:rPr>
        <w:t xml:space="preserve"> procédure d’</w:t>
      </w:r>
      <w:r w:rsidRPr="0024116D">
        <w:rPr>
          <w:lang w:val="fr-CA"/>
        </w:rPr>
        <w:t>appel</w:t>
      </w:r>
      <w:r>
        <w:rPr>
          <w:lang w:val="fr-CA"/>
        </w:rPr>
        <w:t xml:space="preserve">. </w:t>
      </w:r>
      <w:r w:rsidRPr="0024116D">
        <w:rPr>
          <w:lang w:val="fr-CA"/>
        </w:rPr>
        <w:t>Les parties ne sont pas tenues de</w:t>
      </w:r>
      <w:r>
        <w:rPr>
          <w:lang w:val="fr-CA"/>
        </w:rPr>
        <w:t xml:space="preserve"> créer de nouveaux documents, mais lorsqu’elles le font (pa</w:t>
      </w:r>
      <w:r w:rsidR="00FB1188">
        <w:rPr>
          <w:lang w:val="fr-CA"/>
        </w:rPr>
        <w:t>r exemple</w:t>
      </w:r>
      <w:r w:rsidRPr="0024116D">
        <w:rPr>
          <w:lang w:val="fr-CA"/>
        </w:rPr>
        <w:t xml:space="preserve"> lorsqu’elles obtiennent un rapp</w:t>
      </w:r>
      <w:r>
        <w:rPr>
          <w:lang w:val="fr-CA"/>
        </w:rPr>
        <w:t>ort d’expert), le document doit être divulgué.</w:t>
      </w:r>
    </w:p>
    <w:p w14:paraId="266D707D" w14:textId="77777777" w:rsidR="00B04686" w:rsidRDefault="00B04686" w:rsidP="00B04686">
      <w:pPr>
        <w:pStyle w:val="BodyText"/>
        <w:rPr>
          <w:lang w:val="fr-CA"/>
        </w:rPr>
      </w:pPr>
    </w:p>
    <w:p w14:paraId="10057B2A" w14:textId="4F813E48" w:rsidR="009E79E7" w:rsidRDefault="0024116D" w:rsidP="00B04686">
      <w:pPr>
        <w:pStyle w:val="BodyText"/>
        <w:rPr>
          <w:lang w:val="fr-CA"/>
        </w:rPr>
      </w:pPr>
      <w:r>
        <w:rPr>
          <w:lang w:val="fr-CA"/>
        </w:rPr>
        <w:t xml:space="preserve">En cas de différend </w:t>
      </w:r>
      <w:r w:rsidR="008F4573">
        <w:rPr>
          <w:lang w:val="fr-CA"/>
        </w:rPr>
        <w:t>concernant la pertinence d’</w:t>
      </w:r>
      <w:r w:rsidR="00D921C3">
        <w:rPr>
          <w:lang w:val="fr-CA"/>
        </w:rPr>
        <w:t>un document</w:t>
      </w:r>
      <w:r w:rsidR="008F4573">
        <w:rPr>
          <w:lang w:val="fr-CA"/>
        </w:rPr>
        <w:t xml:space="preserve">, </w:t>
      </w:r>
      <w:r w:rsidR="00D921C3">
        <w:rPr>
          <w:lang w:val="fr-CA"/>
        </w:rPr>
        <w:t xml:space="preserve">les parties sont encouragées à fournir </w:t>
      </w:r>
      <w:r w:rsidR="008F4573">
        <w:rPr>
          <w:lang w:val="fr-CA"/>
        </w:rPr>
        <w:t xml:space="preserve">celui-ci, </w:t>
      </w:r>
      <w:r w:rsidR="00D921C3">
        <w:rPr>
          <w:lang w:val="fr-CA"/>
        </w:rPr>
        <w:t xml:space="preserve">étant donné que la </w:t>
      </w:r>
      <w:r w:rsidR="00BE7656">
        <w:rPr>
          <w:lang w:val="fr-CA"/>
        </w:rPr>
        <w:t>r</w:t>
      </w:r>
      <w:r w:rsidR="00D921C3">
        <w:rPr>
          <w:lang w:val="fr-CA"/>
        </w:rPr>
        <w:t xml:space="preserve">ègle 46 prévoit que la divulgation ou la production d’un document ne constitue un aveu de sa pertinence ou de son admissibilité. </w:t>
      </w:r>
      <w:r w:rsidR="00D921C3" w:rsidRPr="00D921C3">
        <w:rPr>
          <w:lang w:val="fr-CA"/>
        </w:rPr>
        <w:t xml:space="preserve">Cette règle permettra </w:t>
      </w:r>
      <w:r w:rsidR="00D921C3">
        <w:rPr>
          <w:lang w:val="fr-CA"/>
        </w:rPr>
        <w:t xml:space="preserve">d’éviter </w:t>
      </w:r>
      <w:r w:rsidR="00D921C3" w:rsidRPr="00D921C3">
        <w:rPr>
          <w:lang w:val="fr-CA"/>
        </w:rPr>
        <w:t>les frais et délais inhérents à l</w:t>
      </w:r>
      <w:r w:rsidR="00D921C3">
        <w:rPr>
          <w:lang w:val="fr-CA"/>
        </w:rPr>
        <w:t>’obligation de présenter une motion pour demander à la Commission de régler le différend. Par ailleurs, il faut se rappeler que si l’appel est réglé, le différend deviendra théorique.</w:t>
      </w:r>
    </w:p>
    <w:p w14:paraId="2C3F25F3" w14:textId="77777777" w:rsidR="00B04686" w:rsidRPr="00714381" w:rsidRDefault="00B04686" w:rsidP="00B04686">
      <w:pPr>
        <w:pStyle w:val="BodyText"/>
        <w:rPr>
          <w:lang w:val="fr-CA"/>
        </w:rPr>
      </w:pPr>
    </w:p>
    <w:p w14:paraId="034F2A58" w14:textId="10AA45A8" w:rsidR="001360DA" w:rsidRPr="00787221" w:rsidRDefault="00BE7656" w:rsidP="001B559A">
      <w:pPr>
        <w:pStyle w:val="Title"/>
        <w:spacing w:after="160"/>
        <w:jc w:val="left"/>
        <w:rPr>
          <w:lang w:val="fr-CA"/>
        </w:rPr>
      </w:pPr>
      <w:r w:rsidRPr="00787221">
        <w:rPr>
          <w:lang w:val="fr-CA"/>
        </w:rPr>
        <w:t>Moments de</w:t>
      </w:r>
      <w:r w:rsidR="00D921C3" w:rsidRPr="00787221">
        <w:rPr>
          <w:lang w:val="fr-CA"/>
        </w:rPr>
        <w:t xml:space="preserve"> la divulgation</w:t>
      </w:r>
    </w:p>
    <w:p w14:paraId="3D52B441" w14:textId="368E11D7" w:rsidR="009E79E7" w:rsidRDefault="00D921C3" w:rsidP="001360DA">
      <w:pPr>
        <w:pStyle w:val="BodyText"/>
        <w:rPr>
          <w:lang w:val="fr-CA"/>
        </w:rPr>
      </w:pPr>
      <w:r w:rsidRPr="00C14878">
        <w:rPr>
          <w:lang w:val="fr-CA"/>
        </w:rPr>
        <w:t xml:space="preserve">Tel qu’il est mentionné plus haut, le </w:t>
      </w:r>
      <w:r w:rsidR="00A87F1F">
        <w:rPr>
          <w:lang w:val="fr-CA"/>
        </w:rPr>
        <w:t>c</w:t>
      </w:r>
      <w:r w:rsidRPr="00C14878">
        <w:rPr>
          <w:lang w:val="fr-CA"/>
        </w:rPr>
        <w:t xml:space="preserve">alendrier des procédures fixe les dates </w:t>
      </w:r>
      <w:r w:rsidR="00A87F1F">
        <w:rPr>
          <w:lang w:val="fr-CA"/>
        </w:rPr>
        <w:t>d</w:t>
      </w:r>
      <w:r w:rsidRPr="00C14878">
        <w:rPr>
          <w:lang w:val="fr-CA"/>
        </w:rPr>
        <w:t>’échéance</w:t>
      </w:r>
      <w:r w:rsidR="00C14878" w:rsidRPr="00C14878">
        <w:rPr>
          <w:lang w:val="fr-CA"/>
        </w:rPr>
        <w:t xml:space="preserve"> </w:t>
      </w:r>
      <w:r w:rsidR="00A87F1F">
        <w:rPr>
          <w:lang w:val="fr-CA"/>
        </w:rPr>
        <w:t xml:space="preserve">relatives à la communication </w:t>
      </w:r>
      <w:r w:rsidR="00C14878" w:rsidRPr="00C14878">
        <w:rPr>
          <w:lang w:val="fr-CA"/>
        </w:rPr>
        <w:t>de</w:t>
      </w:r>
      <w:r w:rsidR="00A87F1F">
        <w:rPr>
          <w:lang w:val="fr-CA"/>
        </w:rPr>
        <w:t>s</w:t>
      </w:r>
      <w:r w:rsidR="00C14878" w:rsidRPr="00C14878">
        <w:rPr>
          <w:lang w:val="fr-CA"/>
        </w:rPr>
        <w:t xml:space="preserve"> renseignements et documents </w:t>
      </w:r>
      <w:r w:rsidR="00A87F1F">
        <w:rPr>
          <w:lang w:val="fr-CA"/>
        </w:rPr>
        <w:t xml:space="preserve">à divulguer </w:t>
      </w:r>
      <w:r w:rsidR="00C14878" w:rsidRPr="00C14878">
        <w:rPr>
          <w:lang w:val="fr-CA"/>
        </w:rPr>
        <w:t xml:space="preserve">qui se trouvent déjà </w:t>
      </w:r>
      <w:r w:rsidR="00C14878">
        <w:rPr>
          <w:lang w:val="fr-CA"/>
        </w:rPr>
        <w:t xml:space="preserve">en </w:t>
      </w:r>
      <w:r w:rsidR="009C5E9A">
        <w:rPr>
          <w:lang w:val="fr-CA"/>
        </w:rPr>
        <w:t xml:space="preserve">la </w:t>
      </w:r>
      <w:r w:rsidR="00C14878">
        <w:rPr>
          <w:lang w:val="fr-CA"/>
        </w:rPr>
        <w:t xml:space="preserve">possession des parties ou sous leur autorité ou </w:t>
      </w:r>
      <w:r w:rsidR="00E06B91">
        <w:rPr>
          <w:lang w:val="fr-CA"/>
        </w:rPr>
        <w:t xml:space="preserve">sous </w:t>
      </w:r>
      <w:r w:rsidR="00C14878">
        <w:rPr>
          <w:lang w:val="fr-CA"/>
        </w:rPr>
        <w:t>leur garde.</w:t>
      </w:r>
    </w:p>
    <w:p w14:paraId="2B6FE2F4" w14:textId="77777777" w:rsidR="001360DA" w:rsidRDefault="00C14878" w:rsidP="001360DA">
      <w:pPr>
        <w:pStyle w:val="BodyText"/>
        <w:rPr>
          <w:lang w:val="fr-CA"/>
        </w:rPr>
      </w:pPr>
      <w:r>
        <w:rPr>
          <w:lang w:val="fr-CA"/>
        </w:rPr>
        <w:lastRenderedPageBreak/>
        <w:t xml:space="preserve">La SEFM a convenu de </w:t>
      </w:r>
      <w:r w:rsidR="00C26D66">
        <w:rPr>
          <w:lang w:val="fr-CA"/>
        </w:rPr>
        <w:t xml:space="preserve">procéder à </w:t>
      </w:r>
      <w:r w:rsidR="00A87F1F">
        <w:rPr>
          <w:lang w:val="fr-CA"/>
        </w:rPr>
        <w:t xml:space="preserve">une divulgation initiale </w:t>
      </w:r>
      <w:r w:rsidR="00C26D66">
        <w:rPr>
          <w:lang w:val="fr-CA"/>
        </w:rPr>
        <w:t xml:space="preserve">de documents et renseignements </w:t>
      </w:r>
      <w:r w:rsidR="004726AD">
        <w:rPr>
          <w:lang w:val="fr-CA"/>
        </w:rPr>
        <w:t xml:space="preserve">à l’intention </w:t>
      </w:r>
      <w:r w:rsidR="00C26D66">
        <w:rPr>
          <w:lang w:val="fr-CA"/>
        </w:rPr>
        <w:t xml:space="preserve">des </w:t>
      </w:r>
      <w:r w:rsidR="009C5E9A">
        <w:rPr>
          <w:lang w:val="fr-CA"/>
        </w:rPr>
        <w:t>part</w:t>
      </w:r>
      <w:r>
        <w:rPr>
          <w:lang w:val="fr-CA"/>
        </w:rPr>
        <w:t xml:space="preserve">ies appelantes et </w:t>
      </w:r>
      <w:r w:rsidR="00C26D66">
        <w:rPr>
          <w:lang w:val="fr-CA"/>
        </w:rPr>
        <w:t xml:space="preserve">de </w:t>
      </w:r>
      <w:r>
        <w:rPr>
          <w:lang w:val="fr-CA"/>
        </w:rPr>
        <w:t>la municipalité, au moyen de son système en ligne « </w:t>
      </w:r>
      <w:r w:rsidRPr="00C14878">
        <w:rPr>
          <w:lang w:val="fr-CA"/>
        </w:rPr>
        <w:t xml:space="preserve">About </w:t>
      </w:r>
      <w:proofErr w:type="spellStart"/>
      <w:r w:rsidRPr="00C14878">
        <w:rPr>
          <w:lang w:val="fr-CA"/>
        </w:rPr>
        <w:t>My</w:t>
      </w:r>
      <w:proofErr w:type="spellEnd"/>
      <w:r w:rsidRPr="00C14878">
        <w:rPr>
          <w:lang w:val="fr-CA"/>
        </w:rPr>
        <w:t xml:space="preserve"> </w:t>
      </w:r>
      <w:proofErr w:type="spellStart"/>
      <w:r w:rsidRPr="00C14878">
        <w:rPr>
          <w:lang w:val="fr-CA"/>
        </w:rPr>
        <w:t>Property</w:t>
      </w:r>
      <w:proofErr w:type="spellEnd"/>
      <w:r>
        <w:rPr>
          <w:lang w:val="fr-CA"/>
        </w:rPr>
        <w:t> ». Dans certains cas, en raison de</w:t>
      </w:r>
      <w:r w:rsidR="0077556D">
        <w:rPr>
          <w:lang w:val="fr-CA"/>
        </w:rPr>
        <w:t xml:space="preserve">s </w:t>
      </w:r>
      <w:r w:rsidR="00DC5CE3">
        <w:rPr>
          <w:lang w:val="fr-CA"/>
        </w:rPr>
        <w:t>obligations contractuelles</w:t>
      </w:r>
      <w:r>
        <w:rPr>
          <w:lang w:val="fr-CA"/>
        </w:rPr>
        <w:t xml:space="preserve"> </w:t>
      </w:r>
      <w:r w:rsidR="0077556D">
        <w:rPr>
          <w:lang w:val="fr-CA"/>
        </w:rPr>
        <w:t xml:space="preserve">applicables à </w:t>
      </w:r>
      <w:r>
        <w:rPr>
          <w:lang w:val="fr-CA"/>
        </w:rPr>
        <w:t xml:space="preserve">sa base de données, la SEFM ou l’une des autres parties </w:t>
      </w:r>
      <w:r w:rsidR="004726AD">
        <w:rPr>
          <w:lang w:val="fr-CA"/>
        </w:rPr>
        <w:t>devra p</w:t>
      </w:r>
      <w:r w:rsidR="00C26D66">
        <w:rPr>
          <w:lang w:val="fr-CA"/>
        </w:rPr>
        <w:t xml:space="preserve">eut-être </w:t>
      </w:r>
      <w:r w:rsidR="004726AD">
        <w:rPr>
          <w:lang w:val="fr-CA"/>
        </w:rPr>
        <w:t xml:space="preserve">exiger </w:t>
      </w:r>
      <w:r w:rsidR="0077556D">
        <w:rPr>
          <w:lang w:val="fr-CA"/>
        </w:rPr>
        <w:t xml:space="preserve">qu’une </w:t>
      </w:r>
      <w:r w:rsidR="00C26D66">
        <w:rPr>
          <w:lang w:val="fr-CA"/>
        </w:rPr>
        <w:t xml:space="preserve">demande écrite </w:t>
      </w:r>
      <w:r w:rsidR="0077556D">
        <w:rPr>
          <w:lang w:val="fr-CA"/>
        </w:rPr>
        <w:t xml:space="preserve">soit présentée en ce sens </w:t>
      </w:r>
      <w:r w:rsidR="004726AD">
        <w:rPr>
          <w:lang w:val="fr-CA"/>
        </w:rPr>
        <w:t>avant qu</w:t>
      </w:r>
      <w:r w:rsidR="0077556D">
        <w:rPr>
          <w:lang w:val="fr-CA"/>
        </w:rPr>
        <w:t xml:space="preserve">’un document pertinent </w:t>
      </w:r>
      <w:r w:rsidR="004726AD">
        <w:rPr>
          <w:lang w:val="fr-CA"/>
        </w:rPr>
        <w:t>puisse être fourni.</w:t>
      </w:r>
    </w:p>
    <w:p w14:paraId="28D9EBB8" w14:textId="0F181F27" w:rsidR="009E79E7" w:rsidRPr="00C14878" w:rsidRDefault="004726AD" w:rsidP="001360DA">
      <w:pPr>
        <w:pStyle w:val="BodyText"/>
        <w:rPr>
          <w:lang w:val="fr-CA"/>
        </w:rPr>
      </w:pPr>
      <w:r>
        <w:rPr>
          <w:lang w:val="fr-CA"/>
        </w:rPr>
        <w:t xml:space="preserve"> </w:t>
      </w:r>
      <w:r w:rsidR="00C14878">
        <w:rPr>
          <w:lang w:val="fr-CA"/>
        </w:rPr>
        <w:t xml:space="preserve"> </w:t>
      </w:r>
    </w:p>
    <w:p w14:paraId="03000A45" w14:textId="0C1DAF6D" w:rsidR="001360DA" w:rsidRPr="00787221" w:rsidRDefault="00185E6D" w:rsidP="001B559A">
      <w:pPr>
        <w:pStyle w:val="Title"/>
        <w:spacing w:after="160"/>
        <w:jc w:val="left"/>
        <w:rPr>
          <w:lang w:val="fr-CA"/>
        </w:rPr>
      </w:pPr>
      <w:r w:rsidRPr="00787221">
        <w:rPr>
          <w:lang w:val="fr-CA"/>
        </w:rPr>
        <w:t>Obligation de divulgation de la municipalité</w:t>
      </w:r>
    </w:p>
    <w:p w14:paraId="18F5BF35" w14:textId="3396A0EF" w:rsidR="00185E6D" w:rsidRDefault="00185E6D" w:rsidP="001360DA">
      <w:pPr>
        <w:pStyle w:val="BodyText"/>
        <w:rPr>
          <w:lang w:val="fr-CA"/>
        </w:rPr>
      </w:pPr>
      <w:r>
        <w:rPr>
          <w:lang w:val="fr-CA"/>
        </w:rPr>
        <w:t xml:space="preserve">La divulgation représente souvent un défi pour les municipalités, car il se peut que des renseignements pertinents se trouvent dans différents services municipaux. Compte </w:t>
      </w:r>
      <w:r w:rsidR="00E74A2E">
        <w:rPr>
          <w:lang w:val="fr-CA"/>
        </w:rPr>
        <w:t xml:space="preserve">tenu </w:t>
      </w:r>
      <w:r>
        <w:rPr>
          <w:lang w:val="fr-CA"/>
        </w:rPr>
        <w:t xml:space="preserve">du nombre élevé d’appels à traiter </w:t>
      </w:r>
      <w:r w:rsidR="00A87F1F">
        <w:rPr>
          <w:lang w:val="fr-CA"/>
        </w:rPr>
        <w:t xml:space="preserve">en cours </w:t>
      </w:r>
      <w:r>
        <w:rPr>
          <w:lang w:val="fr-CA"/>
        </w:rPr>
        <w:t>du cycle d’évaluation de quatre ans et de</w:t>
      </w:r>
      <w:r w:rsidR="00A87F1F">
        <w:rPr>
          <w:lang w:val="fr-CA"/>
        </w:rPr>
        <w:t>s</w:t>
      </w:r>
      <w:r>
        <w:rPr>
          <w:lang w:val="fr-CA"/>
        </w:rPr>
        <w:t xml:space="preserve"> dates d’échéance fixes établies pour l’échange des documents</w:t>
      </w:r>
      <w:r w:rsidR="00A87F1F">
        <w:rPr>
          <w:lang w:val="fr-CA"/>
        </w:rPr>
        <w:t xml:space="preserve"> à divulguer</w:t>
      </w:r>
      <w:r>
        <w:rPr>
          <w:lang w:val="fr-CA"/>
        </w:rPr>
        <w:t xml:space="preserve">, l’obligation de divulgation représente un défi de taille sur le plan des ressources pour les municipalités. En pratique, dans la plupart des cas, la partie appelante ou la SEFM aura déjà en mains les documents pertinents que la municipalité possède également, de sorte que la partie appelante ou la SEFM </w:t>
      </w:r>
      <w:r w:rsidR="00A87F1F">
        <w:rPr>
          <w:lang w:val="fr-CA"/>
        </w:rPr>
        <w:t>l</w:t>
      </w:r>
      <w:r>
        <w:rPr>
          <w:lang w:val="fr-CA"/>
        </w:rPr>
        <w:t>e</w:t>
      </w:r>
      <w:r w:rsidR="00A87F1F">
        <w:rPr>
          <w:lang w:val="fr-CA"/>
        </w:rPr>
        <w:t>s</w:t>
      </w:r>
      <w:r>
        <w:rPr>
          <w:lang w:val="fr-CA"/>
        </w:rPr>
        <w:t xml:space="preserve"> divulguera.</w:t>
      </w:r>
    </w:p>
    <w:p w14:paraId="34A8AD36" w14:textId="77777777" w:rsidR="001360DA" w:rsidRPr="00185E6D" w:rsidRDefault="001360DA" w:rsidP="001360DA">
      <w:pPr>
        <w:pStyle w:val="BodyText"/>
        <w:rPr>
          <w:lang w:val="fr-CA"/>
        </w:rPr>
      </w:pPr>
    </w:p>
    <w:p w14:paraId="36998BB5" w14:textId="77777777" w:rsidR="001360DA" w:rsidRDefault="00714381" w:rsidP="001360DA">
      <w:pPr>
        <w:pStyle w:val="BodyText"/>
        <w:rPr>
          <w:lang w:val="fr-CA"/>
        </w:rPr>
      </w:pPr>
      <w:r>
        <w:rPr>
          <w:lang w:val="fr-CA"/>
        </w:rPr>
        <w:t xml:space="preserve">Selon la </w:t>
      </w:r>
      <w:r w:rsidR="00AE0F94">
        <w:rPr>
          <w:lang w:val="fr-CA"/>
        </w:rPr>
        <w:t>r</w:t>
      </w:r>
      <w:r>
        <w:rPr>
          <w:lang w:val="fr-CA"/>
        </w:rPr>
        <w:t xml:space="preserve">ègle 4, les règles </w:t>
      </w:r>
      <w:r w:rsidR="00AE0F94">
        <w:rPr>
          <w:lang w:val="fr-CA"/>
        </w:rPr>
        <w:t xml:space="preserve">de la Commission </w:t>
      </w:r>
      <w:r>
        <w:rPr>
          <w:lang w:val="fr-CA"/>
        </w:rPr>
        <w:t xml:space="preserve">doivent être appliquées d’une manière proportionnelle à l’importance et à la complexité des questions en litige dans une instance et dans le but de régler les appels dans le </w:t>
      </w:r>
      <w:r w:rsidR="00AE0F94">
        <w:rPr>
          <w:lang w:val="fr-CA"/>
        </w:rPr>
        <w:t>cycle</w:t>
      </w:r>
      <w:r>
        <w:rPr>
          <w:lang w:val="fr-CA"/>
        </w:rPr>
        <w:t xml:space="preserve"> d’évaluation.</w:t>
      </w:r>
    </w:p>
    <w:p w14:paraId="470598E9" w14:textId="3209A206" w:rsidR="009E79E7" w:rsidRPr="00714381" w:rsidRDefault="009E79E7" w:rsidP="001360DA">
      <w:pPr>
        <w:pStyle w:val="BodyText"/>
        <w:rPr>
          <w:lang w:val="fr-CA"/>
        </w:rPr>
      </w:pPr>
      <w:r w:rsidRPr="00714381">
        <w:rPr>
          <w:lang w:val="fr-CA"/>
        </w:rPr>
        <w:t xml:space="preserve"> </w:t>
      </w:r>
    </w:p>
    <w:p w14:paraId="57562AAF" w14:textId="77777777" w:rsidR="001360DA" w:rsidRDefault="00AE0F94" w:rsidP="001360DA">
      <w:pPr>
        <w:pStyle w:val="BodyText"/>
        <w:rPr>
          <w:lang w:val="fr-CA"/>
        </w:rPr>
      </w:pPr>
      <w:r>
        <w:rPr>
          <w:lang w:val="fr-CA"/>
        </w:rPr>
        <w:t>À la lumière de cette r</w:t>
      </w:r>
      <w:r w:rsidR="00714381" w:rsidRPr="00714381">
        <w:rPr>
          <w:lang w:val="fr-CA"/>
        </w:rPr>
        <w:t>ègle, le group</w:t>
      </w:r>
      <w:r w:rsidR="00714381">
        <w:rPr>
          <w:lang w:val="fr-CA"/>
        </w:rPr>
        <w:t>e</w:t>
      </w:r>
      <w:r w:rsidR="00714381" w:rsidRPr="00714381">
        <w:rPr>
          <w:lang w:val="fr-CA"/>
        </w:rPr>
        <w:t xml:space="preserve"> de </w:t>
      </w:r>
      <w:r w:rsidR="00714381">
        <w:rPr>
          <w:lang w:val="fr-CA"/>
        </w:rPr>
        <w:t xml:space="preserve">travail </w:t>
      </w:r>
      <w:r w:rsidR="00714381" w:rsidRPr="00714381">
        <w:rPr>
          <w:lang w:val="fr-CA"/>
        </w:rPr>
        <w:t>sur la divulgation a élaboré la recommandation suivante</w:t>
      </w:r>
      <w:r w:rsidR="00714381">
        <w:rPr>
          <w:lang w:val="fr-CA"/>
        </w:rPr>
        <w:t>,</w:t>
      </w:r>
      <w:r w:rsidR="00714381" w:rsidRPr="00714381">
        <w:rPr>
          <w:lang w:val="fr-CA"/>
        </w:rPr>
        <w:t xml:space="preserve"> que la Comm</w:t>
      </w:r>
      <w:r w:rsidR="00714381">
        <w:rPr>
          <w:lang w:val="fr-CA"/>
        </w:rPr>
        <w:t>ission a accepté</w:t>
      </w:r>
      <w:r>
        <w:rPr>
          <w:lang w:val="fr-CA"/>
        </w:rPr>
        <w:t>e</w:t>
      </w:r>
      <w:r w:rsidR="00714381">
        <w:rPr>
          <w:lang w:val="fr-CA"/>
        </w:rPr>
        <w:t> :</w:t>
      </w:r>
    </w:p>
    <w:p w14:paraId="3CC80D1E" w14:textId="3B917C31" w:rsidR="009E79E7" w:rsidRPr="00714381" w:rsidRDefault="00714381" w:rsidP="001360DA">
      <w:pPr>
        <w:pStyle w:val="BodyText"/>
        <w:rPr>
          <w:b/>
          <w:lang w:val="fr-CA"/>
        </w:rPr>
      </w:pPr>
      <w:r w:rsidRPr="00714381">
        <w:rPr>
          <w:lang w:val="fr-CA"/>
        </w:rPr>
        <w:t xml:space="preserve"> </w:t>
      </w:r>
    </w:p>
    <w:p w14:paraId="61AC1602" w14:textId="6702AEB2" w:rsidR="009E79E7" w:rsidRPr="00714381" w:rsidRDefault="00714381" w:rsidP="009E79E7">
      <w:pPr>
        <w:ind w:left="720"/>
        <w:rPr>
          <w:rFonts w:ascii="Arial" w:hAnsi="Arial" w:cs="Arial"/>
          <w:i/>
          <w:sz w:val="24"/>
          <w:szCs w:val="24"/>
          <w:lang w:val="fr-CA"/>
        </w:rPr>
      </w:pPr>
      <w:r w:rsidRPr="003256C5">
        <w:rPr>
          <w:rFonts w:ascii="Arial" w:hAnsi="Arial" w:cs="Arial"/>
          <w:lang w:val="fr-CA"/>
        </w:rPr>
        <w:t>[TRADUCTION]</w:t>
      </w:r>
      <w:r>
        <w:rPr>
          <w:rFonts w:ascii="Arial" w:hAnsi="Arial" w:cs="Arial"/>
          <w:i/>
          <w:sz w:val="24"/>
          <w:szCs w:val="24"/>
          <w:lang w:val="fr-CA"/>
        </w:rPr>
        <w:t xml:space="preserve"> À moins qu’</w:t>
      </w:r>
      <w:r w:rsidR="00AE0F94">
        <w:rPr>
          <w:rFonts w:ascii="Arial" w:hAnsi="Arial" w:cs="Arial"/>
          <w:i/>
          <w:sz w:val="24"/>
          <w:szCs w:val="24"/>
          <w:lang w:val="fr-CA"/>
        </w:rPr>
        <w:t>elle</w:t>
      </w:r>
      <w:r>
        <w:rPr>
          <w:rFonts w:ascii="Arial" w:hAnsi="Arial" w:cs="Arial"/>
          <w:i/>
          <w:sz w:val="24"/>
          <w:szCs w:val="24"/>
          <w:lang w:val="fr-CA"/>
        </w:rPr>
        <w:t xml:space="preserve"> ne soit une partie appelante dans une procédure d’appel, la municipalité ne devrait être tenue de divulguer des documents que lorsqu’une autre partie lui présente une demande écrite visant à obtenir des documents </w:t>
      </w:r>
      <w:r w:rsidR="00AE0F94">
        <w:rPr>
          <w:rFonts w:ascii="Arial" w:hAnsi="Arial" w:cs="Arial"/>
          <w:i/>
          <w:sz w:val="24"/>
          <w:szCs w:val="24"/>
          <w:lang w:val="fr-CA"/>
        </w:rPr>
        <w:t xml:space="preserve">pertinents </w:t>
      </w:r>
      <w:r>
        <w:rPr>
          <w:rFonts w:ascii="Arial" w:hAnsi="Arial" w:cs="Arial"/>
          <w:i/>
          <w:sz w:val="24"/>
          <w:szCs w:val="24"/>
          <w:lang w:val="fr-CA"/>
        </w:rPr>
        <w:t xml:space="preserve">spécifiques. Cependant, si la municipalité sait qu’un document pertinent se trouve en sa possession et qu’elle n’est pas certaine que les autres parties </w:t>
      </w:r>
      <w:r w:rsidR="00AE0F94">
        <w:rPr>
          <w:rFonts w:ascii="Arial" w:hAnsi="Arial" w:cs="Arial"/>
          <w:i/>
          <w:sz w:val="24"/>
          <w:szCs w:val="24"/>
          <w:lang w:val="fr-CA"/>
        </w:rPr>
        <w:t>l’</w:t>
      </w:r>
      <w:r>
        <w:rPr>
          <w:rFonts w:ascii="Arial" w:hAnsi="Arial" w:cs="Arial"/>
          <w:i/>
          <w:sz w:val="24"/>
          <w:szCs w:val="24"/>
          <w:lang w:val="fr-CA"/>
        </w:rPr>
        <w:t xml:space="preserve">aient en mains, elle devrait procéder à la divulgation du document. </w:t>
      </w:r>
    </w:p>
    <w:p w14:paraId="21D529F6" w14:textId="2AB6E6D7" w:rsidR="009E79E7" w:rsidRPr="00787221" w:rsidRDefault="009E79E7" w:rsidP="001B559A">
      <w:pPr>
        <w:pStyle w:val="Title"/>
        <w:spacing w:after="160"/>
        <w:jc w:val="left"/>
        <w:rPr>
          <w:lang w:val="fr-CA"/>
        </w:rPr>
      </w:pPr>
      <w:r w:rsidRPr="00787221">
        <w:rPr>
          <w:lang w:val="fr-CA"/>
        </w:rPr>
        <w:t>Confidentialit</w:t>
      </w:r>
      <w:r w:rsidR="00C016C5" w:rsidRPr="00787221">
        <w:rPr>
          <w:lang w:val="fr-CA"/>
        </w:rPr>
        <w:t>é</w:t>
      </w:r>
      <w:r w:rsidRPr="00787221">
        <w:rPr>
          <w:lang w:val="fr-CA"/>
        </w:rPr>
        <w:t xml:space="preserve"> – </w:t>
      </w:r>
      <w:r w:rsidR="00C016C5" w:rsidRPr="00787221">
        <w:rPr>
          <w:lang w:val="fr-CA"/>
        </w:rPr>
        <w:t>Comment utiliser le</w:t>
      </w:r>
      <w:r w:rsidR="00AE0F94" w:rsidRPr="00787221">
        <w:rPr>
          <w:lang w:val="fr-CA"/>
        </w:rPr>
        <w:t>s</w:t>
      </w:r>
      <w:r w:rsidR="00C016C5" w:rsidRPr="00787221">
        <w:rPr>
          <w:lang w:val="fr-CA"/>
        </w:rPr>
        <w:t xml:space="preserve"> </w:t>
      </w:r>
      <w:r w:rsidR="00AE0F94" w:rsidRPr="00787221">
        <w:rPr>
          <w:lang w:val="fr-CA"/>
        </w:rPr>
        <w:t>documents</w:t>
      </w:r>
      <w:r w:rsidR="00C016C5" w:rsidRPr="00787221">
        <w:rPr>
          <w:lang w:val="fr-CA"/>
        </w:rPr>
        <w:t xml:space="preserve"> visé</w:t>
      </w:r>
      <w:r w:rsidR="00AE0F94" w:rsidRPr="00787221">
        <w:rPr>
          <w:lang w:val="fr-CA"/>
        </w:rPr>
        <w:t>s</w:t>
      </w:r>
      <w:r w:rsidR="00C016C5" w:rsidRPr="00787221">
        <w:rPr>
          <w:lang w:val="fr-CA"/>
        </w:rPr>
        <w:t xml:space="preserve"> par la divulgation :</w:t>
      </w:r>
    </w:p>
    <w:p w14:paraId="77860E4C" w14:textId="49D2604D" w:rsidR="009D7860" w:rsidRDefault="00C016C5" w:rsidP="001360DA">
      <w:pPr>
        <w:pStyle w:val="BodyText"/>
        <w:rPr>
          <w:lang w:val="fr-CA"/>
        </w:rPr>
      </w:pPr>
      <w:r>
        <w:rPr>
          <w:lang w:val="fr-CA"/>
        </w:rPr>
        <w:t>Les d</w:t>
      </w:r>
      <w:r w:rsidR="009E79E7" w:rsidRPr="00714381">
        <w:rPr>
          <w:lang w:val="fr-CA"/>
        </w:rPr>
        <w:t>ocuments di</w:t>
      </w:r>
      <w:r>
        <w:rPr>
          <w:lang w:val="fr-CA"/>
        </w:rPr>
        <w:t xml:space="preserve">vulgués en application de l’exigence énoncée à la </w:t>
      </w:r>
      <w:r w:rsidR="00AE0F94">
        <w:rPr>
          <w:lang w:val="fr-CA"/>
        </w:rPr>
        <w:t>r</w:t>
      </w:r>
      <w:r>
        <w:rPr>
          <w:lang w:val="fr-CA"/>
        </w:rPr>
        <w:t xml:space="preserve">ègle 45 sont fournis aux fins de la procédure d’appel seulement. </w:t>
      </w:r>
      <w:r w:rsidRPr="00473A77">
        <w:rPr>
          <w:i/>
          <w:iCs/>
          <w:lang w:val="fr-CA"/>
        </w:rPr>
        <w:t>Ces documents ne devraient pas être utilisés à d’</w:t>
      </w:r>
      <w:r w:rsidR="003256C5">
        <w:rPr>
          <w:i/>
          <w:iCs/>
          <w:lang w:val="fr-CA"/>
        </w:rPr>
        <w:t>autres fins, si ce n’est</w:t>
      </w:r>
      <w:r w:rsidRPr="00473A77">
        <w:rPr>
          <w:i/>
          <w:iCs/>
          <w:lang w:val="fr-CA"/>
        </w:rPr>
        <w:t xml:space="preserve"> avec le consentement </w:t>
      </w:r>
      <w:r w:rsidR="003256C5">
        <w:rPr>
          <w:i/>
          <w:iCs/>
          <w:lang w:val="fr-CA"/>
        </w:rPr>
        <w:t xml:space="preserve">préalable </w:t>
      </w:r>
      <w:r w:rsidRPr="00473A77">
        <w:rPr>
          <w:i/>
          <w:iCs/>
          <w:lang w:val="fr-CA"/>
        </w:rPr>
        <w:t xml:space="preserve">de la partie qui </w:t>
      </w:r>
      <w:r w:rsidR="00E74A2E">
        <w:rPr>
          <w:i/>
          <w:iCs/>
          <w:lang w:val="fr-CA"/>
        </w:rPr>
        <w:t xml:space="preserve">les </w:t>
      </w:r>
      <w:r w:rsidRPr="00473A77">
        <w:rPr>
          <w:i/>
          <w:iCs/>
          <w:lang w:val="fr-CA"/>
        </w:rPr>
        <w:t>a fourni</w:t>
      </w:r>
      <w:r w:rsidR="00E74A2E">
        <w:rPr>
          <w:i/>
          <w:iCs/>
          <w:lang w:val="fr-CA"/>
        </w:rPr>
        <w:t>s</w:t>
      </w:r>
      <w:r w:rsidRPr="00473A77">
        <w:rPr>
          <w:i/>
          <w:iCs/>
          <w:lang w:val="fr-CA"/>
        </w:rPr>
        <w:t>.</w:t>
      </w:r>
    </w:p>
    <w:p w14:paraId="26C54C81" w14:textId="77777777" w:rsidR="001360DA" w:rsidRDefault="001360DA" w:rsidP="001360DA">
      <w:pPr>
        <w:pStyle w:val="BodyText"/>
        <w:rPr>
          <w:lang w:val="fr-CA"/>
        </w:rPr>
      </w:pPr>
    </w:p>
    <w:p w14:paraId="51E9CDFC" w14:textId="09DF5682" w:rsidR="009D7860" w:rsidRDefault="00C016C5" w:rsidP="001360DA">
      <w:pPr>
        <w:pStyle w:val="BodyText"/>
        <w:rPr>
          <w:lang w:val="fr-CA"/>
        </w:rPr>
      </w:pPr>
      <w:r>
        <w:rPr>
          <w:lang w:val="fr-CA"/>
        </w:rPr>
        <w:lastRenderedPageBreak/>
        <w:t xml:space="preserve">Lorsque les renseignements contenus dans un document pertinent sont particulièrement </w:t>
      </w:r>
      <w:r w:rsidR="0065776A">
        <w:rPr>
          <w:lang w:val="fr-CA"/>
        </w:rPr>
        <w:t xml:space="preserve">sensibles, </w:t>
      </w:r>
      <w:r>
        <w:rPr>
          <w:lang w:val="fr-CA"/>
        </w:rPr>
        <w:t xml:space="preserve">les parties pourront négocier </w:t>
      </w:r>
      <w:r w:rsidR="00E74A2E">
        <w:rPr>
          <w:lang w:val="fr-CA"/>
        </w:rPr>
        <w:t xml:space="preserve">entre elles </w:t>
      </w:r>
      <w:r>
        <w:rPr>
          <w:lang w:val="fr-CA"/>
        </w:rPr>
        <w:t xml:space="preserve">et signer une entente de </w:t>
      </w:r>
      <w:proofErr w:type="gramStart"/>
      <w:r>
        <w:rPr>
          <w:lang w:val="fr-CA"/>
        </w:rPr>
        <w:t>non divulgation</w:t>
      </w:r>
      <w:proofErr w:type="gramEnd"/>
      <w:r>
        <w:rPr>
          <w:lang w:val="fr-CA"/>
        </w:rPr>
        <w:t xml:space="preserve"> </w:t>
      </w:r>
      <w:r w:rsidR="00E74A2E">
        <w:rPr>
          <w:lang w:val="fr-CA"/>
        </w:rPr>
        <w:t xml:space="preserve">qui </w:t>
      </w:r>
      <w:r>
        <w:rPr>
          <w:lang w:val="fr-CA"/>
        </w:rPr>
        <w:t xml:space="preserve">régira la façon dont ces renseignements seront gérés et utilisés. Toutes les parties à l’appel devraient </w:t>
      </w:r>
      <w:r w:rsidR="00E74A2E">
        <w:rPr>
          <w:lang w:val="fr-CA"/>
        </w:rPr>
        <w:t xml:space="preserve">signer </w:t>
      </w:r>
      <w:r>
        <w:rPr>
          <w:lang w:val="fr-CA"/>
        </w:rPr>
        <w:t>cette entente</w:t>
      </w:r>
      <w:r w:rsidR="00AE0F94">
        <w:rPr>
          <w:lang w:val="fr-CA"/>
        </w:rPr>
        <w:t>,</w:t>
      </w:r>
      <w:r>
        <w:rPr>
          <w:lang w:val="fr-CA"/>
        </w:rPr>
        <w:t xml:space="preserve"> car </w:t>
      </w:r>
      <w:r w:rsidR="00AE0F94">
        <w:rPr>
          <w:lang w:val="fr-CA"/>
        </w:rPr>
        <w:t>chacune d’elles a</w:t>
      </w:r>
      <w:r>
        <w:rPr>
          <w:lang w:val="fr-CA"/>
        </w:rPr>
        <w:t xml:space="preserve"> le droit de recevoir les documents pertinents.</w:t>
      </w:r>
    </w:p>
    <w:p w14:paraId="58066642" w14:textId="77777777" w:rsidR="001360DA" w:rsidRPr="003256C5" w:rsidRDefault="001360DA" w:rsidP="001360DA">
      <w:pPr>
        <w:pStyle w:val="BodyText"/>
        <w:rPr>
          <w:lang w:val="fr-CA"/>
        </w:rPr>
      </w:pPr>
    </w:p>
    <w:p w14:paraId="60E1C908" w14:textId="69AA9AD8" w:rsidR="009E79E7" w:rsidRPr="00DC5CE3" w:rsidRDefault="00DC5CE3" w:rsidP="001360DA">
      <w:pPr>
        <w:pStyle w:val="BodyText"/>
        <w:rPr>
          <w:lang w:val="fr-CA"/>
        </w:rPr>
      </w:pPr>
      <w:r w:rsidRPr="00DC5CE3">
        <w:rPr>
          <w:lang w:val="fr-CA"/>
        </w:rPr>
        <w:t xml:space="preserve">Au besoin, une partie peut s’adresser à la Commission afin de </w:t>
      </w:r>
      <w:r w:rsidR="003256C5">
        <w:rPr>
          <w:lang w:val="fr-CA"/>
        </w:rPr>
        <w:t>lui demander de rendre, en vertu</w:t>
      </w:r>
      <w:r w:rsidRPr="00DC5CE3">
        <w:rPr>
          <w:lang w:val="fr-CA"/>
        </w:rPr>
        <w:t xml:space="preserve"> de la </w:t>
      </w:r>
      <w:r w:rsidR="00AE0F94">
        <w:rPr>
          <w:lang w:val="fr-CA"/>
        </w:rPr>
        <w:t>r</w:t>
      </w:r>
      <w:r w:rsidRPr="00DC5CE3">
        <w:rPr>
          <w:lang w:val="fr-CA"/>
        </w:rPr>
        <w:t>ègle 89</w:t>
      </w:r>
      <w:r w:rsidR="00AE0F94">
        <w:rPr>
          <w:lang w:val="fr-CA"/>
        </w:rPr>
        <w:t>,</w:t>
      </w:r>
      <w:r w:rsidRPr="00DC5CE3">
        <w:rPr>
          <w:lang w:val="fr-CA"/>
        </w:rPr>
        <w:t xml:space="preserve"> une </w:t>
      </w:r>
      <w:r>
        <w:rPr>
          <w:lang w:val="fr-CA"/>
        </w:rPr>
        <w:t xml:space="preserve">ordonnance </w:t>
      </w:r>
      <w:r w:rsidR="00AE0F94">
        <w:rPr>
          <w:lang w:val="fr-CA"/>
        </w:rPr>
        <w:t xml:space="preserve">exigeant </w:t>
      </w:r>
      <w:r w:rsidRPr="00DC5CE3">
        <w:rPr>
          <w:lang w:val="fr-CA"/>
        </w:rPr>
        <w:t xml:space="preserve">que les </w:t>
      </w:r>
      <w:r>
        <w:rPr>
          <w:lang w:val="fr-CA"/>
        </w:rPr>
        <w:t xml:space="preserve">documents </w:t>
      </w:r>
      <w:r w:rsidRPr="00DC5CE3">
        <w:rPr>
          <w:lang w:val="fr-CA"/>
        </w:rPr>
        <w:t>déposés auprès d’elle</w:t>
      </w:r>
      <w:r w:rsidR="00AE0F94">
        <w:rPr>
          <w:lang w:val="fr-CA"/>
        </w:rPr>
        <w:t xml:space="preserve"> dans une procédure d’appel</w:t>
      </w:r>
      <w:r w:rsidRPr="00DC5CE3">
        <w:rPr>
          <w:lang w:val="fr-CA"/>
        </w:rPr>
        <w:t xml:space="preserve"> ou au cours</w:t>
      </w:r>
      <w:r>
        <w:rPr>
          <w:lang w:val="fr-CA"/>
        </w:rPr>
        <w:t xml:space="preserve"> d’une audience </w:t>
      </w:r>
      <w:r w:rsidRPr="00DC5CE3">
        <w:rPr>
          <w:lang w:val="fr-CA"/>
        </w:rPr>
        <w:t xml:space="preserve">soient traités comme </w:t>
      </w:r>
      <w:r>
        <w:rPr>
          <w:lang w:val="fr-CA"/>
        </w:rPr>
        <w:t xml:space="preserve">confidentiels et scellés et qu’ils ne fassent pas partie du dossier public. </w:t>
      </w:r>
      <w:r w:rsidRPr="00DC5CE3">
        <w:rPr>
          <w:lang w:val="fr-CA"/>
        </w:rPr>
        <w:br/>
      </w:r>
    </w:p>
    <w:p w14:paraId="62319CBE" w14:textId="77777777" w:rsidR="009E79E7" w:rsidRPr="00DC5CE3" w:rsidRDefault="009E79E7" w:rsidP="009E79E7">
      <w:pPr>
        <w:rPr>
          <w:rFonts w:ascii="Arial" w:hAnsi="Arial" w:cs="Arial"/>
          <w:sz w:val="24"/>
          <w:szCs w:val="24"/>
          <w:lang w:val="fr-CA"/>
        </w:rPr>
      </w:pPr>
    </w:p>
    <w:sectPr w:rsidR="009E79E7" w:rsidRPr="00DC5CE3" w:rsidSect="009E79E7">
      <w:headerReference w:type="even" r:id="rId9"/>
      <w:headerReference w:type="default" r:id="rId10"/>
      <w:footerReference w:type="even" r:id="rId11"/>
      <w:footerReference w:type="default" r:id="rId12"/>
      <w:headerReference w:type="first" r:id="rId13"/>
      <w:footerReference w:type="first" r:id="rId14"/>
      <w:pgSz w:w="12240" w:h="15840"/>
      <w:pgMar w:top="1360" w:right="1620" w:bottom="1200" w:left="1340" w:header="720" w:footer="10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B5629" w14:textId="77777777" w:rsidR="00E06B91" w:rsidRDefault="00E06B91" w:rsidP="00760D43">
      <w:pPr>
        <w:spacing w:after="0" w:line="240" w:lineRule="auto"/>
      </w:pPr>
      <w:r>
        <w:separator/>
      </w:r>
    </w:p>
  </w:endnote>
  <w:endnote w:type="continuationSeparator" w:id="0">
    <w:p w14:paraId="751383B0" w14:textId="77777777" w:rsidR="00E06B91" w:rsidRDefault="00E06B91" w:rsidP="00760D43">
      <w:pPr>
        <w:spacing w:after="0" w:line="240" w:lineRule="auto"/>
      </w:pPr>
      <w:r>
        <w:continuationSeparator/>
      </w:r>
    </w:p>
  </w:endnote>
  <w:endnote w:type="continuationNotice" w:id="1">
    <w:p w14:paraId="601F239E" w14:textId="77777777" w:rsidR="00E06B91" w:rsidRDefault="00E06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565" w14:textId="77777777" w:rsidR="00E06B91" w:rsidRDefault="00E06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767006"/>
      <w:docPartObj>
        <w:docPartGallery w:val="Page Numbers (Bottom of Page)"/>
        <w:docPartUnique/>
      </w:docPartObj>
    </w:sdtPr>
    <w:sdtEndPr>
      <w:rPr>
        <w:rFonts w:ascii="Arial" w:hAnsi="Arial" w:cs="Arial"/>
        <w:noProof/>
      </w:rPr>
    </w:sdtEndPr>
    <w:sdtContent>
      <w:p w14:paraId="230AB71B" w14:textId="6610E5E4" w:rsidR="00E06B91" w:rsidRPr="00192188" w:rsidRDefault="00E06B91">
        <w:pPr>
          <w:pStyle w:val="Footer"/>
          <w:jc w:val="right"/>
          <w:rPr>
            <w:rFonts w:ascii="Arial" w:hAnsi="Arial" w:cs="Arial"/>
          </w:rPr>
        </w:pPr>
        <w:r w:rsidRPr="00192188">
          <w:rPr>
            <w:rFonts w:ascii="Arial" w:hAnsi="Arial" w:cs="Arial"/>
          </w:rPr>
          <w:fldChar w:fldCharType="begin"/>
        </w:r>
        <w:r w:rsidRPr="00192188">
          <w:rPr>
            <w:rFonts w:ascii="Arial" w:hAnsi="Arial" w:cs="Arial"/>
          </w:rPr>
          <w:instrText xml:space="preserve"> PAGE   \* MERGEFORMAT </w:instrText>
        </w:r>
        <w:r w:rsidRPr="00192188">
          <w:rPr>
            <w:rFonts w:ascii="Arial" w:hAnsi="Arial" w:cs="Arial"/>
          </w:rPr>
          <w:fldChar w:fldCharType="separate"/>
        </w:r>
        <w:r w:rsidR="003256C5">
          <w:rPr>
            <w:rFonts w:ascii="Arial" w:hAnsi="Arial" w:cs="Arial"/>
            <w:noProof/>
          </w:rPr>
          <w:t>4</w:t>
        </w:r>
        <w:r w:rsidRPr="00192188">
          <w:rPr>
            <w:rFonts w:ascii="Arial" w:hAnsi="Arial" w:cs="Arial"/>
            <w:noProof/>
          </w:rPr>
          <w:fldChar w:fldCharType="end"/>
        </w:r>
      </w:p>
    </w:sdtContent>
  </w:sdt>
  <w:p w14:paraId="0C2E53F1" w14:textId="77777777" w:rsidR="00E06B91" w:rsidRDefault="00E06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44F" w14:textId="77777777" w:rsidR="00E06B91" w:rsidRDefault="00E06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B8D5" w14:textId="77777777" w:rsidR="00E06B91" w:rsidRDefault="00E06B91" w:rsidP="00760D43">
      <w:pPr>
        <w:spacing w:after="0" w:line="240" w:lineRule="auto"/>
      </w:pPr>
      <w:r>
        <w:separator/>
      </w:r>
    </w:p>
  </w:footnote>
  <w:footnote w:type="continuationSeparator" w:id="0">
    <w:p w14:paraId="4D07FCB0" w14:textId="77777777" w:rsidR="00E06B91" w:rsidRDefault="00E06B91" w:rsidP="00760D43">
      <w:pPr>
        <w:spacing w:after="0" w:line="240" w:lineRule="auto"/>
      </w:pPr>
      <w:r>
        <w:continuationSeparator/>
      </w:r>
    </w:p>
  </w:footnote>
  <w:footnote w:type="continuationNotice" w:id="1">
    <w:p w14:paraId="2F81B158" w14:textId="77777777" w:rsidR="00E06B91" w:rsidRDefault="00E06B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10C0" w14:textId="77777777" w:rsidR="00E06B91" w:rsidRDefault="00E06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50C" w14:textId="77777777" w:rsidR="00E06B91" w:rsidRDefault="00E06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311" w14:textId="77777777" w:rsidR="00E06B91" w:rsidRDefault="00E0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2493"/>
    <w:multiLevelType w:val="hybridMultilevel"/>
    <w:tmpl w:val="852C6DF8"/>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 w15:restartNumberingAfterBreak="0">
    <w:nsid w:val="19C41E6B"/>
    <w:multiLevelType w:val="hybridMultilevel"/>
    <w:tmpl w:val="2B2CB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8C707E"/>
    <w:multiLevelType w:val="hybridMultilevel"/>
    <w:tmpl w:val="AF086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3C1CBA"/>
    <w:multiLevelType w:val="multilevel"/>
    <w:tmpl w:val="643246FA"/>
    <w:lvl w:ilvl="0">
      <w:start w:val="29"/>
      <w:numFmt w:val="decimal"/>
      <w:lvlText w:val="%1"/>
      <w:lvlJc w:val="left"/>
      <w:pPr>
        <w:ind w:left="634" w:hanging="535"/>
      </w:pPr>
      <w:rPr>
        <w:rFonts w:hint="default"/>
      </w:rPr>
    </w:lvl>
    <w:lvl w:ilvl="1">
      <w:start w:val="2"/>
      <w:numFmt w:val="decimal"/>
      <w:lvlText w:val="%1.%2"/>
      <w:lvlJc w:val="left"/>
      <w:pPr>
        <w:ind w:left="634" w:hanging="535"/>
      </w:pPr>
      <w:rPr>
        <w:rFonts w:ascii="Arial" w:eastAsia="Arial" w:hAnsi="Arial" w:cs="Arial" w:hint="default"/>
        <w:w w:val="99"/>
        <w:sz w:val="24"/>
        <w:szCs w:val="24"/>
      </w:rPr>
    </w:lvl>
    <w:lvl w:ilvl="2">
      <w:numFmt w:val="bullet"/>
      <w:lvlText w:val=""/>
      <w:lvlJc w:val="left"/>
      <w:pPr>
        <w:ind w:left="880" w:hanging="360"/>
      </w:pPr>
      <w:rPr>
        <w:rFonts w:ascii="Symbol" w:eastAsia="Symbol" w:hAnsi="Symbol" w:cs="Symbol" w:hint="default"/>
        <w:w w:val="100"/>
        <w:sz w:val="24"/>
        <w:szCs w:val="24"/>
      </w:rPr>
    </w:lvl>
    <w:lvl w:ilvl="3">
      <w:numFmt w:val="bullet"/>
      <w:lvlText w:val="•"/>
      <w:lvlJc w:val="left"/>
      <w:pPr>
        <w:ind w:left="2746" w:hanging="360"/>
      </w:pPr>
      <w:rPr>
        <w:rFonts w:hint="default"/>
      </w:rPr>
    </w:lvl>
    <w:lvl w:ilvl="4">
      <w:numFmt w:val="bullet"/>
      <w:lvlText w:val="•"/>
      <w:lvlJc w:val="left"/>
      <w:pPr>
        <w:ind w:left="3680" w:hanging="360"/>
      </w:pPr>
      <w:rPr>
        <w:rFonts w:hint="default"/>
      </w:rPr>
    </w:lvl>
    <w:lvl w:ilvl="5">
      <w:numFmt w:val="bullet"/>
      <w:lvlText w:val="•"/>
      <w:lvlJc w:val="left"/>
      <w:pPr>
        <w:ind w:left="4613" w:hanging="360"/>
      </w:pPr>
      <w:rPr>
        <w:rFonts w:hint="default"/>
      </w:rPr>
    </w:lvl>
    <w:lvl w:ilvl="6">
      <w:numFmt w:val="bullet"/>
      <w:lvlText w:val="•"/>
      <w:lvlJc w:val="left"/>
      <w:pPr>
        <w:ind w:left="5546" w:hanging="360"/>
      </w:pPr>
      <w:rPr>
        <w:rFonts w:hint="default"/>
      </w:rPr>
    </w:lvl>
    <w:lvl w:ilvl="7">
      <w:numFmt w:val="bullet"/>
      <w:lvlText w:val="•"/>
      <w:lvlJc w:val="left"/>
      <w:pPr>
        <w:ind w:left="6480" w:hanging="360"/>
      </w:pPr>
      <w:rPr>
        <w:rFonts w:hint="default"/>
      </w:rPr>
    </w:lvl>
    <w:lvl w:ilvl="8">
      <w:numFmt w:val="bullet"/>
      <w:lvlText w:val="•"/>
      <w:lvlJc w:val="left"/>
      <w:pPr>
        <w:ind w:left="7413" w:hanging="360"/>
      </w:pPr>
      <w:rPr>
        <w:rFonts w:hint="default"/>
      </w:rPr>
    </w:lvl>
  </w:abstractNum>
  <w:abstractNum w:abstractNumId="4" w15:restartNumberingAfterBreak="0">
    <w:nsid w:val="58C539DA"/>
    <w:multiLevelType w:val="hybridMultilevel"/>
    <w:tmpl w:val="E2A67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7043FCB"/>
    <w:multiLevelType w:val="hybridMultilevel"/>
    <w:tmpl w:val="3246F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DE38E2"/>
    <w:multiLevelType w:val="hybridMultilevel"/>
    <w:tmpl w:val="0046F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ADE7794"/>
    <w:multiLevelType w:val="hybridMultilevel"/>
    <w:tmpl w:val="90DCD9C4"/>
    <w:lvl w:ilvl="0" w:tplc="B288BE2A">
      <w:numFmt w:val="bullet"/>
      <w:lvlText w:val=""/>
      <w:lvlJc w:val="left"/>
      <w:pPr>
        <w:ind w:left="820" w:hanging="360"/>
      </w:pPr>
      <w:rPr>
        <w:rFonts w:ascii="Symbol" w:eastAsia="Symbol" w:hAnsi="Symbol" w:cs="Symbol" w:hint="default"/>
        <w:w w:val="100"/>
        <w:sz w:val="24"/>
        <w:szCs w:val="24"/>
      </w:rPr>
    </w:lvl>
    <w:lvl w:ilvl="1" w:tplc="02AE1EBC">
      <w:numFmt w:val="bullet"/>
      <w:lvlText w:val="o"/>
      <w:lvlJc w:val="left"/>
      <w:pPr>
        <w:ind w:left="1540" w:hanging="360"/>
      </w:pPr>
      <w:rPr>
        <w:rFonts w:ascii="Courier New" w:eastAsia="Courier New" w:hAnsi="Courier New" w:cs="Courier New" w:hint="default"/>
        <w:w w:val="100"/>
        <w:sz w:val="24"/>
        <w:szCs w:val="24"/>
      </w:rPr>
    </w:lvl>
    <w:lvl w:ilvl="2" w:tplc="5E4049DC">
      <w:numFmt w:val="bullet"/>
      <w:lvlText w:val="•"/>
      <w:lvlJc w:val="left"/>
      <w:pPr>
        <w:ind w:left="2400" w:hanging="360"/>
      </w:pPr>
      <w:rPr>
        <w:rFonts w:hint="default"/>
      </w:rPr>
    </w:lvl>
    <w:lvl w:ilvl="3" w:tplc="FE08121C">
      <w:numFmt w:val="bullet"/>
      <w:lvlText w:val="•"/>
      <w:lvlJc w:val="left"/>
      <w:pPr>
        <w:ind w:left="3260" w:hanging="360"/>
      </w:pPr>
      <w:rPr>
        <w:rFonts w:hint="default"/>
      </w:rPr>
    </w:lvl>
    <w:lvl w:ilvl="4" w:tplc="2EE0A894">
      <w:numFmt w:val="bullet"/>
      <w:lvlText w:val="•"/>
      <w:lvlJc w:val="left"/>
      <w:pPr>
        <w:ind w:left="4120" w:hanging="360"/>
      </w:pPr>
      <w:rPr>
        <w:rFonts w:hint="default"/>
      </w:rPr>
    </w:lvl>
    <w:lvl w:ilvl="5" w:tplc="D33E688A">
      <w:numFmt w:val="bullet"/>
      <w:lvlText w:val="•"/>
      <w:lvlJc w:val="left"/>
      <w:pPr>
        <w:ind w:left="4980" w:hanging="360"/>
      </w:pPr>
      <w:rPr>
        <w:rFonts w:hint="default"/>
      </w:rPr>
    </w:lvl>
    <w:lvl w:ilvl="6" w:tplc="E842DC3C">
      <w:numFmt w:val="bullet"/>
      <w:lvlText w:val="•"/>
      <w:lvlJc w:val="left"/>
      <w:pPr>
        <w:ind w:left="5840" w:hanging="360"/>
      </w:pPr>
      <w:rPr>
        <w:rFonts w:hint="default"/>
      </w:rPr>
    </w:lvl>
    <w:lvl w:ilvl="7" w:tplc="A96E7584">
      <w:numFmt w:val="bullet"/>
      <w:lvlText w:val="•"/>
      <w:lvlJc w:val="left"/>
      <w:pPr>
        <w:ind w:left="6700" w:hanging="360"/>
      </w:pPr>
      <w:rPr>
        <w:rFonts w:hint="default"/>
      </w:rPr>
    </w:lvl>
    <w:lvl w:ilvl="8" w:tplc="AA88C12C">
      <w:numFmt w:val="bullet"/>
      <w:lvlText w:val="•"/>
      <w:lvlJc w:val="left"/>
      <w:pPr>
        <w:ind w:left="7560" w:hanging="360"/>
      </w:pPr>
      <w:rPr>
        <w:rFonts w:hint="default"/>
      </w:rPr>
    </w:lvl>
  </w:abstractNum>
  <w:abstractNum w:abstractNumId="8" w15:restartNumberingAfterBreak="0">
    <w:nsid w:val="7E82125E"/>
    <w:multiLevelType w:val="hybridMultilevel"/>
    <w:tmpl w:val="849E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8E"/>
    <w:rsid w:val="000160F3"/>
    <w:rsid w:val="00034438"/>
    <w:rsid w:val="000358ED"/>
    <w:rsid w:val="000443A4"/>
    <w:rsid w:val="00051104"/>
    <w:rsid w:val="00054840"/>
    <w:rsid w:val="00062CE3"/>
    <w:rsid w:val="00081E5B"/>
    <w:rsid w:val="001360DA"/>
    <w:rsid w:val="00185E6D"/>
    <w:rsid w:val="00191CF1"/>
    <w:rsid w:val="00192188"/>
    <w:rsid w:val="001B559A"/>
    <w:rsid w:val="001D71E3"/>
    <w:rsid w:val="001E0065"/>
    <w:rsid w:val="00202AE6"/>
    <w:rsid w:val="002304B6"/>
    <w:rsid w:val="0024116D"/>
    <w:rsid w:val="00271DDB"/>
    <w:rsid w:val="00274682"/>
    <w:rsid w:val="00296445"/>
    <w:rsid w:val="002976C5"/>
    <w:rsid w:val="002B5962"/>
    <w:rsid w:val="002B6211"/>
    <w:rsid w:val="002E2C48"/>
    <w:rsid w:val="003256C5"/>
    <w:rsid w:val="003267A7"/>
    <w:rsid w:val="00343700"/>
    <w:rsid w:val="00354F77"/>
    <w:rsid w:val="00382BBB"/>
    <w:rsid w:val="00391818"/>
    <w:rsid w:val="003C0AF8"/>
    <w:rsid w:val="00425342"/>
    <w:rsid w:val="00427DD4"/>
    <w:rsid w:val="004726AD"/>
    <w:rsid w:val="00473A77"/>
    <w:rsid w:val="00494715"/>
    <w:rsid w:val="004E32E0"/>
    <w:rsid w:val="00503F12"/>
    <w:rsid w:val="00535882"/>
    <w:rsid w:val="00574F90"/>
    <w:rsid w:val="005E713E"/>
    <w:rsid w:val="005F2F9B"/>
    <w:rsid w:val="00620D10"/>
    <w:rsid w:val="00640415"/>
    <w:rsid w:val="00646D90"/>
    <w:rsid w:val="0065776A"/>
    <w:rsid w:val="006662E7"/>
    <w:rsid w:val="00686DCF"/>
    <w:rsid w:val="00692F38"/>
    <w:rsid w:val="00714381"/>
    <w:rsid w:val="0072693B"/>
    <w:rsid w:val="007418A4"/>
    <w:rsid w:val="00760D43"/>
    <w:rsid w:val="0077556D"/>
    <w:rsid w:val="00787221"/>
    <w:rsid w:val="007A1120"/>
    <w:rsid w:val="007B2049"/>
    <w:rsid w:val="007D343F"/>
    <w:rsid w:val="0083266F"/>
    <w:rsid w:val="00881FCD"/>
    <w:rsid w:val="008867D0"/>
    <w:rsid w:val="00895C5D"/>
    <w:rsid w:val="008A398C"/>
    <w:rsid w:val="008B6538"/>
    <w:rsid w:val="008E1AF0"/>
    <w:rsid w:val="008F3876"/>
    <w:rsid w:val="008F4573"/>
    <w:rsid w:val="00902C24"/>
    <w:rsid w:val="0090639F"/>
    <w:rsid w:val="00916E18"/>
    <w:rsid w:val="00955827"/>
    <w:rsid w:val="00974A4C"/>
    <w:rsid w:val="00991699"/>
    <w:rsid w:val="009A31C9"/>
    <w:rsid w:val="009B7D6C"/>
    <w:rsid w:val="009C36FA"/>
    <w:rsid w:val="009C5E9A"/>
    <w:rsid w:val="009D25AB"/>
    <w:rsid w:val="009D6E9B"/>
    <w:rsid w:val="009D7860"/>
    <w:rsid w:val="009E47AE"/>
    <w:rsid w:val="009E79E7"/>
    <w:rsid w:val="00A05DE7"/>
    <w:rsid w:val="00A101B8"/>
    <w:rsid w:val="00A6147B"/>
    <w:rsid w:val="00A87F1F"/>
    <w:rsid w:val="00AC276E"/>
    <w:rsid w:val="00AE0F94"/>
    <w:rsid w:val="00B04686"/>
    <w:rsid w:val="00B13C38"/>
    <w:rsid w:val="00B40719"/>
    <w:rsid w:val="00B64403"/>
    <w:rsid w:val="00B66E1D"/>
    <w:rsid w:val="00B81458"/>
    <w:rsid w:val="00BC301D"/>
    <w:rsid w:val="00BE60D3"/>
    <w:rsid w:val="00BE7656"/>
    <w:rsid w:val="00BF6B23"/>
    <w:rsid w:val="00C016C5"/>
    <w:rsid w:val="00C023A0"/>
    <w:rsid w:val="00C02456"/>
    <w:rsid w:val="00C03AAD"/>
    <w:rsid w:val="00C14878"/>
    <w:rsid w:val="00C26D66"/>
    <w:rsid w:val="00C52047"/>
    <w:rsid w:val="00C560E8"/>
    <w:rsid w:val="00CE3345"/>
    <w:rsid w:val="00D921C3"/>
    <w:rsid w:val="00D9799C"/>
    <w:rsid w:val="00DC5CE3"/>
    <w:rsid w:val="00DD2835"/>
    <w:rsid w:val="00DE3BF9"/>
    <w:rsid w:val="00DE588F"/>
    <w:rsid w:val="00E06B91"/>
    <w:rsid w:val="00E23E8B"/>
    <w:rsid w:val="00E31330"/>
    <w:rsid w:val="00E7433C"/>
    <w:rsid w:val="00E74A2E"/>
    <w:rsid w:val="00EB6663"/>
    <w:rsid w:val="00EC0B8E"/>
    <w:rsid w:val="00ED52F5"/>
    <w:rsid w:val="00ED60EA"/>
    <w:rsid w:val="00F36C89"/>
    <w:rsid w:val="00F3715E"/>
    <w:rsid w:val="00F522B6"/>
    <w:rsid w:val="00F73808"/>
    <w:rsid w:val="00F81A49"/>
    <w:rsid w:val="00FB1188"/>
    <w:rsid w:val="00FB7AA6"/>
    <w:rsid w:val="00FD05E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615A752"/>
  <w15:docId w15:val="{E9F2A2AC-667C-4CD8-A68D-29F1C5EE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5AB"/>
    <w:pPr>
      <w:spacing w:after="0"/>
      <w:jc w:val="both"/>
      <w:outlineLvl w:val="0"/>
    </w:pPr>
    <w:rPr>
      <w:rFonts w:ascii="Arial" w:hAnsi="Arial" w:cs="Arial"/>
      <w:b/>
      <w:sz w:val="28"/>
      <w:szCs w:val="24"/>
    </w:rPr>
  </w:style>
  <w:style w:type="paragraph" w:styleId="Heading2">
    <w:name w:val="heading 2"/>
    <w:basedOn w:val="Normal"/>
    <w:next w:val="Normal"/>
    <w:link w:val="Heading2Char"/>
    <w:uiPriority w:val="9"/>
    <w:unhideWhenUsed/>
    <w:qFormat/>
    <w:rsid w:val="009D25AB"/>
    <w:pPr>
      <w:keepNext/>
      <w:keepLines/>
      <w:spacing w:after="0"/>
      <w:outlineLvl w:val="1"/>
    </w:pPr>
    <w:rPr>
      <w:rFonts w:ascii="Arial" w:eastAsiaTheme="majorEastAsia" w:hAnsi="Arial"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A4"/>
    <w:rPr>
      <w:rFonts w:ascii="Tahoma" w:hAnsi="Tahoma" w:cs="Tahoma"/>
      <w:sz w:val="16"/>
      <w:szCs w:val="16"/>
    </w:rPr>
  </w:style>
  <w:style w:type="character" w:styleId="CommentReference">
    <w:name w:val="annotation reference"/>
    <w:basedOn w:val="DefaultParagraphFont"/>
    <w:uiPriority w:val="99"/>
    <w:semiHidden/>
    <w:unhideWhenUsed/>
    <w:rsid w:val="002976C5"/>
    <w:rPr>
      <w:sz w:val="16"/>
      <w:szCs w:val="16"/>
    </w:rPr>
  </w:style>
  <w:style w:type="paragraph" w:styleId="CommentText">
    <w:name w:val="annotation text"/>
    <w:basedOn w:val="Normal"/>
    <w:link w:val="CommentTextChar"/>
    <w:uiPriority w:val="99"/>
    <w:semiHidden/>
    <w:unhideWhenUsed/>
    <w:rsid w:val="002976C5"/>
    <w:pPr>
      <w:spacing w:line="240" w:lineRule="auto"/>
    </w:pPr>
    <w:rPr>
      <w:sz w:val="20"/>
      <w:szCs w:val="20"/>
    </w:rPr>
  </w:style>
  <w:style w:type="character" w:customStyle="1" w:styleId="CommentTextChar">
    <w:name w:val="Comment Text Char"/>
    <w:basedOn w:val="DefaultParagraphFont"/>
    <w:link w:val="CommentText"/>
    <w:uiPriority w:val="99"/>
    <w:semiHidden/>
    <w:rsid w:val="002976C5"/>
    <w:rPr>
      <w:sz w:val="20"/>
      <w:szCs w:val="20"/>
    </w:rPr>
  </w:style>
  <w:style w:type="paragraph" w:styleId="CommentSubject">
    <w:name w:val="annotation subject"/>
    <w:basedOn w:val="CommentText"/>
    <w:next w:val="CommentText"/>
    <w:link w:val="CommentSubjectChar"/>
    <w:uiPriority w:val="99"/>
    <w:semiHidden/>
    <w:unhideWhenUsed/>
    <w:rsid w:val="002976C5"/>
    <w:rPr>
      <w:b/>
      <w:bCs/>
    </w:rPr>
  </w:style>
  <w:style w:type="character" w:customStyle="1" w:styleId="CommentSubjectChar">
    <w:name w:val="Comment Subject Char"/>
    <w:basedOn w:val="CommentTextChar"/>
    <w:link w:val="CommentSubject"/>
    <w:uiPriority w:val="99"/>
    <w:semiHidden/>
    <w:rsid w:val="002976C5"/>
    <w:rPr>
      <w:b/>
      <w:bCs/>
      <w:sz w:val="20"/>
      <w:szCs w:val="20"/>
    </w:rPr>
  </w:style>
  <w:style w:type="paragraph" w:styleId="Header">
    <w:name w:val="header"/>
    <w:basedOn w:val="Normal"/>
    <w:link w:val="HeaderChar"/>
    <w:uiPriority w:val="99"/>
    <w:unhideWhenUsed/>
    <w:rsid w:val="00760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D43"/>
  </w:style>
  <w:style w:type="paragraph" w:styleId="Footer">
    <w:name w:val="footer"/>
    <w:basedOn w:val="Normal"/>
    <w:link w:val="FooterChar"/>
    <w:uiPriority w:val="99"/>
    <w:unhideWhenUsed/>
    <w:rsid w:val="00760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43"/>
  </w:style>
  <w:style w:type="paragraph" w:styleId="BodyTextIndent2">
    <w:name w:val="Body Text Indent 2"/>
    <w:basedOn w:val="Normal"/>
    <w:link w:val="BodyTextIndent2Char"/>
    <w:rsid w:val="00974A4C"/>
    <w:pPr>
      <w:spacing w:after="0" w:line="240" w:lineRule="auto"/>
      <w:ind w:left="1440"/>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974A4C"/>
    <w:rPr>
      <w:rFonts w:ascii="Arial" w:eastAsia="Times New Roman" w:hAnsi="Arial" w:cs="Times New Roman"/>
      <w:sz w:val="20"/>
      <w:szCs w:val="20"/>
      <w:lang w:val="en-US"/>
    </w:rPr>
  </w:style>
  <w:style w:type="paragraph" w:styleId="Title">
    <w:name w:val="Title"/>
    <w:basedOn w:val="BodyTextIndent2"/>
    <w:next w:val="Normal"/>
    <w:link w:val="TitleChar"/>
    <w:uiPriority w:val="10"/>
    <w:qFormat/>
    <w:rsid w:val="00F522B6"/>
    <w:pPr>
      <w:ind w:left="0"/>
      <w:jc w:val="center"/>
    </w:pPr>
    <w:rPr>
      <w:rFonts w:cs="Arial"/>
      <w:b/>
      <w:color w:val="000000"/>
      <w:spacing w:val="20"/>
      <w:sz w:val="24"/>
      <w:szCs w:val="24"/>
      <w:lang w:val="en"/>
    </w:rPr>
  </w:style>
  <w:style w:type="character" w:customStyle="1" w:styleId="TitleChar">
    <w:name w:val="Title Char"/>
    <w:basedOn w:val="DefaultParagraphFont"/>
    <w:link w:val="Title"/>
    <w:uiPriority w:val="10"/>
    <w:rsid w:val="00F522B6"/>
    <w:rPr>
      <w:rFonts w:ascii="Arial" w:eastAsia="Times New Roman" w:hAnsi="Arial" w:cs="Arial"/>
      <w:b/>
      <w:color w:val="000000"/>
      <w:spacing w:val="20"/>
      <w:sz w:val="24"/>
      <w:szCs w:val="24"/>
      <w:lang w:val="en"/>
    </w:rPr>
  </w:style>
  <w:style w:type="character" w:customStyle="1" w:styleId="Heading1Char">
    <w:name w:val="Heading 1 Char"/>
    <w:basedOn w:val="DefaultParagraphFont"/>
    <w:link w:val="Heading1"/>
    <w:uiPriority w:val="9"/>
    <w:rsid w:val="009D25AB"/>
    <w:rPr>
      <w:rFonts w:ascii="Arial" w:hAnsi="Arial" w:cs="Arial"/>
      <w:b/>
      <w:sz w:val="28"/>
      <w:szCs w:val="24"/>
    </w:rPr>
  </w:style>
  <w:style w:type="paragraph" w:styleId="ListParagraph">
    <w:name w:val="List Paragraph"/>
    <w:basedOn w:val="Normal"/>
    <w:uiPriority w:val="1"/>
    <w:qFormat/>
    <w:rsid w:val="00F3715E"/>
    <w:pPr>
      <w:ind w:left="720"/>
      <w:contextualSpacing/>
    </w:pPr>
  </w:style>
  <w:style w:type="paragraph" w:styleId="BodyTextIndent">
    <w:name w:val="Body Text Indent"/>
    <w:basedOn w:val="Normal"/>
    <w:link w:val="BodyTextIndentChar"/>
    <w:uiPriority w:val="99"/>
    <w:semiHidden/>
    <w:unhideWhenUsed/>
    <w:rsid w:val="00F81A49"/>
    <w:pPr>
      <w:spacing w:after="120"/>
      <w:ind w:left="283"/>
    </w:pPr>
  </w:style>
  <w:style w:type="character" w:customStyle="1" w:styleId="BodyTextIndentChar">
    <w:name w:val="Body Text Indent Char"/>
    <w:basedOn w:val="DefaultParagraphFont"/>
    <w:link w:val="BodyTextIndent"/>
    <w:uiPriority w:val="99"/>
    <w:semiHidden/>
    <w:rsid w:val="00F81A49"/>
  </w:style>
  <w:style w:type="character" w:styleId="Hyperlink">
    <w:name w:val="Hyperlink"/>
    <w:basedOn w:val="DefaultParagraphFont"/>
    <w:uiPriority w:val="99"/>
    <w:unhideWhenUsed/>
    <w:rsid w:val="001E0065"/>
    <w:rPr>
      <w:color w:val="0000FF" w:themeColor="hyperlink"/>
      <w:u w:val="single"/>
    </w:rPr>
  </w:style>
  <w:style w:type="paragraph" w:styleId="BodyText">
    <w:name w:val="Body Text"/>
    <w:basedOn w:val="Normal"/>
    <w:link w:val="BodyTextChar"/>
    <w:uiPriority w:val="1"/>
    <w:unhideWhenUsed/>
    <w:qFormat/>
    <w:rsid w:val="009D25AB"/>
    <w:pPr>
      <w:spacing w:after="0"/>
    </w:pPr>
    <w:rPr>
      <w:rFonts w:ascii="Arial" w:hAnsi="Arial"/>
      <w:sz w:val="24"/>
    </w:rPr>
  </w:style>
  <w:style w:type="character" w:customStyle="1" w:styleId="BodyTextChar">
    <w:name w:val="Body Text Char"/>
    <w:basedOn w:val="DefaultParagraphFont"/>
    <w:link w:val="BodyText"/>
    <w:uiPriority w:val="1"/>
    <w:rsid w:val="009D25AB"/>
    <w:rPr>
      <w:rFonts w:ascii="Arial" w:hAnsi="Arial"/>
      <w:sz w:val="24"/>
    </w:rPr>
  </w:style>
  <w:style w:type="paragraph" w:customStyle="1" w:styleId="TableParagraph">
    <w:name w:val="Table Paragraph"/>
    <w:basedOn w:val="Normal"/>
    <w:uiPriority w:val="1"/>
    <w:qFormat/>
    <w:rsid w:val="002B5962"/>
    <w:pPr>
      <w:widowControl w:val="0"/>
      <w:autoSpaceDE w:val="0"/>
      <w:autoSpaceDN w:val="0"/>
      <w:spacing w:after="0" w:line="240" w:lineRule="auto"/>
    </w:pPr>
    <w:rPr>
      <w:rFonts w:ascii="Arial" w:eastAsia="Arial" w:hAnsi="Arial" w:cs="Arial"/>
      <w:lang w:val="en-US"/>
    </w:rPr>
  </w:style>
  <w:style w:type="character" w:customStyle="1" w:styleId="Heading2Char">
    <w:name w:val="Heading 2 Char"/>
    <w:basedOn w:val="DefaultParagraphFont"/>
    <w:link w:val="Heading2"/>
    <w:uiPriority w:val="9"/>
    <w:rsid w:val="009D25AB"/>
    <w:rPr>
      <w:rFonts w:ascii="Arial" w:eastAsiaTheme="majorEastAsia" w:hAnsi="Arial" w:cstheme="majorBidi"/>
      <w:b/>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5980">
      <w:bodyDiv w:val="1"/>
      <w:marLeft w:val="0"/>
      <w:marRight w:val="0"/>
      <w:marTop w:val="0"/>
      <w:marBottom w:val="0"/>
      <w:divBdr>
        <w:top w:val="none" w:sz="0" w:space="0" w:color="auto"/>
        <w:left w:val="none" w:sz="0" w:space="0" w:color="auto"/>
        <w:bottom w:val="none" w:sz="0" w:space="0" w:color="auto"/>
        <w:right w:val="none" w:sz="0" w:space="0" w:color="auto"/>
      </w:divBdr>
    </w:div>
    <w:div w:id="19807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71748.05C8AA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1129</Words>
  <Characters>6102</Characters>
  <Application>Microsoft Office Word</Application>
  <DocSecurity>0</DocSecurity>
  <Lines>122</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Disclosure Requirements General and Summary Proceedings French</vt:lpstr>
      <vt:lpstr/>
    </vt:vector>
  </TitlesOfParts>
  <Company>MGS</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Requirements General and Summary Proceedings French</dc:title>
  <dc:creator>Cowan, Benson (MAG)</dc:creator>
  <cp:keywords>CRÉF, Directive de pratique</cp:keywords>
  <cp:lastModifiedBy>Kappel, Alex (MAG)</cp:lastModifiedBy>
  <cp:revision>5</cp:revision>
  <cp:lastPrinted>2021-04-12T20:53:00Z</cp:lastPrinted>
  <dcterms:created xsi:type="dcterms:W3CDTF">2021-04-12T20:53:00Z</dcterms:created>
  <dcterms:modified xsi:type="dcterms:W3CDTF">2023-03-23T18:37:00Z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2023-03-21T16:33:55Z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696cb970-046a-48cb-a65e-dcc114960c53</vt:lpwstr>
  </property>
  <property fmtid="{D5CDD505-2E9C-101B-9397-08002B2CF9AE}" pid="8" name="MSIP_Label_034a106e-6316-442c-ad35-738afd673d2b_ContentBits">
    <vt:lpwstr>0</vt:lpwstr>
  </property>
</Properties>
</file>